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  <w:szCs w:val="28"/>
        </w:rPr>
      </w:pPr>
    </w:p>
    <w:p w:rsidR="00832A05" w:rsidRDefault="00832A05">
      <w:pPr>
        <w:ind w:firstLine="4502"/>
        <w:rPr>
          <w:sz w:val="28"/>
        </w:rPr>
      </w:pPr>
    </w:p>
    <w:p w:rsidR="00832A05" w:rsidRDefault="00832A05">
      <w:pPr>
        <w:ind w:firstLine="4502"/>
        <w:rPr>
          <w:sz w:val="28"/>
        </w:rPr>
      </w:pPr>
    </w:p>
    <w:p w:rsidR="00832A05" w:rsidRDefault="00832A05">
      <w:pPr>
        <w:spacing w:before="108" w:after="108"/>
        <w:jc w:val="center"/>
        <w:outlineLvl w:val="0"/>
        <w:rPr>
          <w:sz w:val="66"/>
        </w:rPr>
      </w:pPr>
    </w:p>
    <w:p w:rsidR="00832A05" w:rsidRDefault="00832A05">
      <w:pPr>
        <w:spacing w:before="108" w:after="108"/>
        <w:jc w:val="center"/>
        <w:outlineLvl w:val="0"/>
        <w:rPr>
          <w:sz w:val="66"/>
        </w:rPr>
      </w:pPr>
    </w:p>
    <w:p w:rsidR="00832A05" w:rsidRDefault="00311484">
      <w:pPr>
        <w:spacing w:before="108" w:after="108"/>
        <w:jc w:val="center"/>
        <w:outlineLvl w:val="0"/>
        <w:rPr>
          <w:sz w:val="66"/>
        </w:rPr>
      </w:pPr>
      <w:r>
        <w:rPr>
          <w:sz w:val="66"/>
        </w:rPr>
        <w:t>Прогноз</w:t>
      </w:r>
    </w:p>
    <w:p w:rsidR="00832A05" w:rsidRDefault="00311484">
      <w:pPr>
        <w:jc w:val="center"/>
        <w:rPr>
          <w:sz w:val="66"/>
        </w:rPr>
      </w:pPr>
      <w:r>
        <w:rPr>
          <w:sz w:val="66"/>
        </w:rPr>
        <w:t>социально – экономического развития города</w:t>
      </w:r>
    </w:p>
    <w:p w:rsidR="00832A05" w:rsidRDefault="00311484">
      <w:pPr>
        <w:jc w:val="center"/>
        <w:rPr>
          <w:sz w:val="66"/>
        </w:rPr>
      </w:pPr>
      <w:r>
        <w:rPr>
          <w:sz w:val="66"/>
        </w:rPr>
        <w:t xml:space="preserve"> Нижнего Новгорода </w:t>
      </w:r>
    </w:p>
    <w:p w:rsidR="00832A05" w:rsidRDefault="00311484">
      <w:pPr>
        <w:jc w:val="center"/>
        <w:rPr>
          <w:sz w:val="66"/>
        </w:rPr>
      </w:pPr>
      <w:r>
        <w:rPr>
          <w:sz w:val="66"/>
        </w:rPr>
        <w:t>на 2025-2027 годы</w:t>
      </w:r>
    </w:p>
    <w:p w:rsidR="00832A05" w:rsidRDefault="00832A05">
      <w:pPr>
        <w:jc w:val="center"/>
        <w:rPr>
          <w:sz w:val="72"/>
        </w:rPr>
      </w:pPr>
    </w:p>
    <w:p w:rsidR="00832A05" w:rsidRDefault="00832A05">
      <w:pPr>
        <w:jc w:val="center"/>
        <w:rPr>
          <w:sz w:val="72"/>
        </w:rPr>
      </w:pPr>
    </w:p>
    <w:p w:rsidR="00832A05" w:rsidRDefault="00832A05">
      <w:pPr>
        <w:jc w:val="center"/>
        <w:rPr>
          <w:sz w:val="72"/>
        </w:rPr>
      </w:pPr>
    </w:p>
    <w:p w:rsidR="00832A05" w:rsidRDefault="00832A05">
      <w:pPr>
        <w:jc w:val="center"/>
        <w:rPr>
          <w:sz w:val="72"/>
        </w:rPr>
      </w:pPr>
    </w:p>
    <w:p w:rsidR="00832A05" w:rsidRDefault="00832A05">
      <w:pPr>
        <w:rPr>
          <w:sz w:val="56"/>
          <w:szCs w:val="56"/>
        </w:rPr>
      </w:pPr>
    </w:p>
    <w:p w:rsidR="00832A05" w:rsidRDefault="00832A05">
      <w:pPr>
        <w:rPr>
          <w:sz w:val="28"/>
        </w:rPr>
      </w:pPr>
    </w:p>
    <w:p w:rsidR="00832A05" w:rsidRDefault="00311484">
      <w:pPr>
        <w:jc w:val="center"/>
        <w:rPr>
          <w:sz w:val="28"/>
        </w:rPr>
      </w:pPr>
      <w:r>
        <w:rPr>
          <w:sz w:val="28"/>
        </w:rPr>
        <w:t>Нижний Новгород</w:t>
      </w:r>
    </w:p>
    <w:p w:rsidR="00832A05" w:rsidRDefault="00311484">
      <w:pPr>
        <w:jc w:val="center"/>
        <w:rPr>
          <w:sz w:val="28"/>
        </w:rPr>
      </w:pPr>
      <w:r>
        <w:rPr>
          <w:sz w:val="28"/>
        </w:rPr>
        <w:t>2024 год</w:t>
      </w:r>
    </w:p>
    <w:p w:rsidR="00832A05" w:rsidRDefault="00311484">
      <w:pPr>
        <w:tabs>
          <w:tab w:val="num" w:pos="0"/>
        </w:tabs>
        <w:ind w:firstLine="709"/>
        <w:jc w:val="both"/>
        <w:rPr>
          <w:color w:val="FF0000"/>
        </w:rPr>
      </w:pPr>
      <w:r>
        <w:rPr>
          <w:color w:val="FF0000"/>
        </w:rPr>
        <w:br w:type="page" w:clear="all"/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основу при формировании среднесрочного прогноза был принят базовый вариант, который предполагает активную реализацию государственной политики по структурной трансформации российской экономики в новых макроэкономических условиях, в том числе развитие имп</w:t>
      </w:r>
      <w:r>
        <w:rPr>
          <w:sz w:val="28"/>
          <w:szCs w:val="28"/>
        </w:rPr>
        <w:t>ортозамещения, обеспечение технологического суверенитета и  ускоренной цифровизации, развитие транспортно-логических коридоров и переориентацию российских экспортных поставок, а также стимулирование предпринимательской деятельности и частной инвестиционной</w:t>
      </w:r>
      <w:r>
        <w:rPr>
          <w:sz w:val="28"/>
          <w:szCs w:val="28"/>
        </w:rPr>
        <w:t xml:space="preserve"> активности, развитие финансовой системы, повышение гибкости рынка труда.</w:t>
      </w:r>
    </w:p>
    <w:p w:rsidR="00832A05" w:rsidRDefault="00832A05">
      <w:pPr>
        <w:pStyle w:val="HeadDoc"/>
        <w:keepLines w:val="0"/>
        <w:ind w:firstLine="709"/>
        <w:jc w:val="center"/>
      </w:pPr>
    </w:p>
    <w:p w:rsidR="00832A05" w:rsidRDefault="00311484">
      <w:pPr>
        <w:pStyle w:val="HeadDoc"/>
        <w:keepLines w:val="0"/>
        <w:jc w:val="center"/>
        <w:rPr>
          <w:sz w:val="32"/>
          <w:szCs w:val="32"/>
        </w:rPr>
      </w:pPr>
      <w:r>
        <w:rPr>
          <w:sz w:val="32"/>
          <w:szCs w:val="32"/>
        </w:rPr>
        <w:t>1. Прогноз экономической деятельности предприятий</w:t>
      </w:r>
    </w:p>
    <w:p w:rsidR="00832A05" w:rsidRDefault="00832A05">
      <w:pPr>
        <w:tabs>
          <w:tab w:val="num" w:pos="0"/>
        </w:tabs>
        <w:ind w:firstLine="709"/>
        <w:jc w:val="both"/>
        <w:rPr>
          <w:color w:val="FF0000"/>
          <w:sz w:val="28"/>
          <w:szCs w:val="28"/>
        </w:rPr>
      </w:pPr>
    </w:p>
    <w:p w:rsidR="00832A05" w:rsidRDefault="00311484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 развития экономической деятельности предприятий в 2025-2027 гг. разработан исходя из специфики сложившейся структуры эконо</w:t>
      </w:r>
      <w:r>
        <w:rPr>
          <w:sz w:val="28"/>
          <w:szCs w:val="28"/>
        </w:rPr>
        <w:t>мики города и видов экономической деятельности, прогнозных темпов роста отгруженной продукции, прогнозных индексов цен, с использованием данных, представленных крупными, средними и малыми предприятиями города. В прогнозе учтены итоги развития экономики гор</w:t>
      </w:r>
      <w:r>
        <w:rPr>
          <w:sz w:val="28"/>
          <w:szCs w:val="28"/>
        </w:rPr>
        <w:t>ода в январе-июле 2024 года, прогнозируемые тенденции развития экономической ситуации на федеральном и региональном уровне.</w:t>
      </w:r>
    </w:p>
    <w:p w:rsidR="00832A05" w:rsidRDefault="00832A05">
      <w:pPr>
        <w:tabs>
          <w:tab w:val="num" w:pos="0"/>
        </w:tabs>
        <w:ind w:firstLine="709"/>
        <w:jc w:val="both"/>
        <w:rPr>
          <w:rFonts w:ascii="Calibri" w:hAnsi="Calibri" w:cs="Calibri"/>
          <w:sz w:val="22"/>
          <w:szCs w:val="22"/>
        </w:rPr>
      </w:pP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t>1.1. Прогноз объемов отгруженной продукции собственного производства, выполненных работ и услуг собственными силами</w:t>
      </w:r>
    </w:p>
    <w:p w:rsidR="00832A05" w:rsidRDefault="00832A05">
      <w:pPr>
        <w:ind w:firstLine="709"/>
        <w:jc w:val="both"/>
        <w:rPr>
          <w:sz w:val="28"/>
          <w:szCs w:val="28"/>
        </w:rPr>
      </w:pPr>
    </w:p>
    <w:p w:rsidR="00832A05" w:rsidRDefault="00311484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отгружен</w:t>
      </w:r>
      <w:r>
        <w:rPr>
          <w:sz w:val="28"/>
          <w:szCs w:val="28"/>
        </w:rPr>
        <w:t xml:space="preserve">ных товаров собственного производства, выполненных работ и услуг собственными силами - выступает основным показателем, по которому оценивается общее состояние экономики муниципалитета. 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В него включаются объемы отгруженных товаров и выполняемых работ по сл</w:t>
      </w:r>
      <w:r>
        <w:rPr>
          <w:sz w:val="28"/>
        </w:rPr>
        <w:t>едующим основным видам экономической деятельности: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«сельское, лесное хозяйство, охота, рыболовство и рыбоводство»;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«добыча полезных ископаемых»;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«обрабатывающие производства»;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«обеспечение электрической энергией, газом и паром; кондиционирование воздуха»;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</w:t>
      </w:r>
      <w:r>
        <w:rPr>
          <w:iCs/>
          <w:sz w:val="28"/>
        </w:rPr>
        <w:t>водоснабжение, водоотведение, организация сбора и утилизация отходов, деятельность по ликвидации загрязнений</w:t>
      </w:r>
      <w:r>
        <w:rPr>
          <w:sz w:val="28"/>
        </w:rPr>
        <w:t>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«строительство»;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«транспортировка и хранение»;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«торговля оптовая и розничная, ремонт автотранспортных средств и мотоциклов»;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«деятельность в области информации и связи»;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«деятельность профессиональная, научная и техническая»;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«образование»;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«деятельность в области здравоохранения и социальных услуг»;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t>«деятельность в области культуры, спорта, организации досуга и развлечений»;</w:t>
      </w:r>
    </w:p>
    <w:p w:rsidR="00832A05" w:rsidRDefault="00311484">
      <w:pPr>
        <w:tabs>
          <w:tab w:val="num" w:pos="0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а </w:t>
      </w:r>
      <w:r>
        <w:rPr>
          <w:sz w:val="28"/>
        </w:rPr>
        <w:t>также по прочим видам экономической деятельности.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Промышленное производство является базовым сектором экономики Нижнего Новгорода, </w:t>
      </w:r>
      <w:r>
        <w:rPr>
          <w:sz w:val="28"/>
          <w:szCs w:val="28"/>
        </w:rPr>
        <w:t>тенденции развития данной отрасли в среднесрочной и долгосрочной перспективе в большей степени определяют вектор развития экономики города.  Структура промышленного производства состоит из четырёх видов промышленной деятельности: «обрабатывающие производст</w:t>
      </w:r>
      <w:r>
        <w:rPr>
          <w:sz w:val="28"/>
          <w:szCs w:val="28"/>
        </w:rPr>
        <w:t>ва»; «обеспечение электрической энергией, газом и паром; кондиционирование воздуха»; «</w:t>
      </w:r>
      <w:r>
        <w:rPr>
          <w:iCs/>
          <w:sz w:val="28"/>
          <w:szCs w:val="28"/>
        </w:rPr>
        <w:t>водоснабжение, водоотведение, организация сбора и утилизация отходов, деятельность по ликвидации загрязнений</w:t>
      </w:r>
      <w:r>
        <w:rPr>
          <w:sz w:val="28"/>
          <w:szCs w:val="28"/>
        </w:rPr>
        <w:t>»; «добыча полезных ископаемых».</w:t>
      </w:r>
    </w:p>
    <w:p w:rsidR="00832A05" w:rsidRDefault="00832A05">
      <w:pPr>
        <w:ind w:firstLine="709"/>
        <w:jc w:val="both"/>
        <w:rPr>
          <w:sz w:val="28"/>
          <w:szCs w:val="28"/>
        </w:rPr>
      </w:pPr>
    </w:p>
    <w:p w:rsidR="00832A05" w:rsidRDefault="00311484">
      <w:pPr>
        <w:numPr>
          <w:ilvl w:val="2"/>
          <w:numId w:val="14"/>
        </w:num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Основные тенденции развития </w:t>
      </w:r>
      <w:r>
        <w:rPr>
          <w:sz w:val="28"/>
          <w:szCs w:val="28"/>
        </w:rPr>
        <w:t>экономики города в отчетном 2023 году и текущем 2024 году</w:t>
      </w:r>
    </w:p>
    <w:p w:rsidR="00832A05" w:rsidRDefault="00832A05">
      <w:pPr>
        <w:ind w:left="1779"/>
        <w:jc w:val="both"/>
        <w:rPr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Итоги 2023 года и оценка текущей ситуации показали, что экономика города успешно прошла путь адаптации к санкциям и имеет потенциал к дальнейшему развитию.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отгруженной продукции по полному кр</w:t>
      </w:r>
      <w:r>
        <w:rPr>
          <w:sz w:val="28"/>
          <w:szCs w:val="28"/>
        </w:rPr>
        <w:t>угу предприятий в 2023 году увеличился на 19,1% в действующих ценах и составил 1 841,5 млрд. рублей (113,1% в сопоставимых ценах).</w:t>
      </w:r>
    </w:p>
    <w:p w:rsidR="00832A05" w:rsidRDefault="00311484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Крупными, средними и малыми предприятиями города было отгружено промышленной продукции на </w:t>
      </w:r>
      <w:r>
        <w:rPr>
          <w:bCs/>
          <w:sz w:val="28"/>
          <w:szCs w:val="28"/>
        </w:rPr>
        <w:t>840,2 млрд. рублей (в действующих ц</w:t>
      </w:r>
      <w:r>
        <w:rPr>
          <w:bCs/>
          <w:sz w:val="28"/>
          <w:szCs w:val="28"/>
        </w:rPr>
        <w:t xml:space="preserve">енах -111,5%; в сопоставимых – 106,8%). </w:t>
      </w:r>
      <w:r>
        <w:rPr>
          <w:sz w:val="28"/>
          <w:szCs w:val="28"/>
        </w:rPr>
        <w:t>Наибольший вклад в промышленное производство вносят обрабатывающие производства, составляющие 86,2% в общем объеме отгруженной промышленной продукции.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отгруженной продукции в обрабатывающих производствах по пол</w:t>
      </w:r>
      <w:r>
        <w:rPr>
          <w:sz w:val="28"/>
          <w:szCs w:val="28"/>
        </w:rPr>
        <w:t>ному кругу предприятий за 2023 год увеличился на 10,8% в действующих ценах (в сопоставимых ценах – 106%) за счет роста в ключевых отраслях: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производстве готовых металлических изделий, кроме машин и оборудования (в действующих ценах – 159,8%, в сопостави</w:t>
      </w:r>
      <w:r>
        <w:rPr>
          <w:sz w:val="28"/>
          <w:szCs w:val="28"/>
        </w:rPr>
        <w:t xml:space="preserve">мых – 150,6%);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производстве прочих транспортных средств и оборудования (в действующих ценах – 134,9%, в сопоставимых – 121,7%);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производстве лекарственных </w:t>
      </w:r>
      <w:proofErr w:type="gramStart"/>
      <w:r>
        <w:rPr>
          <w:sz w:val="28"/>
          <w:szCs w:val="28"/>
        </w:rPr>
        <w:t>средств  (</w:t>
      </w:r>
      <w:proofErr w:type="gramEnd"/>
      <w:r>
        <w:rPr>
          <w:sz w:val="28"/>
          <w:szCs w:val="28"/>
        </w:rPr>
        <w:t xml:space="preserve">в действующих ценах – 130,6%, в сопоставимых – 110,5%);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автотранспорт</w:t>
      </w:r>
      <w:r>
        <w:rPr>
          <w:sz w:val="28"/>
          <w:szCs w:val="28"/>
        </w:rPr>
        <w:t>ных средств, прицепов и полуприцепов (в действующих ценах – 125%, в сопоставимых – 113,1%).</w:t>
      </w:r>
    </w:p>
    <w:p w:rsidR="00832A05" w:rsidRDefault="003114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 продукции, произведенной малыми предприятиями, в общем объеме отгруженной продукции всей экономики города по итогам 2023 года составила 24,3%. Наибольшую долю </w:t>
      </w:r>
      <w:r>
        <w:rPr>
          <w:sz w:val="28"/>
          <w:szCs w:val="28"/>
        </w:rPr>
        <w:t>малый бизнес традиционно занимает в таких ключевых видах деятельности, как «</w:t>
      </w:r>
      <w:r>
        <w:rPr>
          <w:iCs/>
          <w:sz w:val="28"/>
          <w:szCs w:val="28"/>
        </w:rPr>
        <w:t>торговля оптовая и розничная, ремонт автотранспортных средств и мотоциклов</w:t>
      </w:r>
      <w:r>
        <w:rPr>
          <w:sz w:val="28"/>
          <w:szCs w:val="28"/>
        </w:rPr>
        <w:t>» (80,6%) и «строительство» (70,4%).</w:t>
      </w:r>
    </w:p>
    <w:p w:rsidR="00832A05" w:rsidRDefault="00311484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Доля продукции малых предприятий в общем объеме</w:t>
      </w: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отгруженной в 2023 </w:t>
      </w:r>
      <w:r>
        <w:rPr>
          <w:sz w:val="28"/>
          <w:szCs w:val="28"/>
        </w:rPr>
        <w:t xml:space="preserve">году продукции (по полному кругу предприятий) </w:t>
      </w:r>
    </w:p>
    <w:p w:rsidR="00832A05" w:rsidRDefault="00832A05">
      <w:pPr>
        <w:jc w:val="center"/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5"/>
        <w:gridCol w:w="1631"/>
        <w:gridCol w:w="1880"/>
        <w:gridCol w:w="1606"/>
        <w:gridCol w:w="1716"/>
      </w:tblGrid>
      <w:tr w:rsidR="00832A05">
        <w:trPr>
          <w:trHeight w:val="20"/>
          <w:jc w:val="center"/>
        </w:trPr>
        <w:tc>
          <w:tcPr>
            <w:tcW w:w="2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Наименование вида экономической </w:t>
            </w:r>
          </w:p>
          <w:p w:rsidR="00832A05" w:rsidRDefault="00311484">
            <w:pPr>
              <w:jc w:val="center"/>
            </w:pPr>
            <w:r>
              <w:rPr>
                <w:bCs/>
              </w:rPr>
              <w:t>деятельности</w:t>
            </w:r>
          </w:p>
        </w:tc>
        <w:tc>
          <w:tcPr>
            <w:tcW w:w="3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Отгружено товаров собственного производства, выполнено работ и услуг собственными силами, млн. руб.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Доля малых предприятий в общем объеме отгруженной продукции по</w:t>
            </w:r>
            <w:r>
              <w:t xml:space="preserve"> полному кругу предприятий, 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ind w:right="113"/>
              <w:jc w:val="center"/>
            </w:pPr>
            <w:r>
              <w:t>Структура экономики города по полному кругу предприятий, %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832A05">
            <w:pPr>
              <w:rPr>
                <w:highlight w:val="green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 xml:space="preserve">Малые </w:t>
            </w:r>
          </w:p>
          <w:p w:rsidR="00832A05" w:rsidRDefault="00311484">
            <w:pPr>
              <w:jc w:val="center"/>
            </w:pPr>
            <w:r>
              <w:t>предприятия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Полный круг предприятий (крупные, средние и малые)</w:t>
            </w:r>
          </w:p>
        </w:tc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832A05">
            <w:pPr>
              <w:rPr>
                <w:highlight w:val="gree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832A05">
            <w:pPr>
              <w:rPr>
                <w:highlight w:val="green"/>
              </w:rPr>
            </w:pP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spacing w:before="20" w:after="20"/>
              <w:rPr>
                <w:bCs/>
              </w:rPr>
            </w:pPr>
            <w:r>
              <w:rPr>
                <w:bCs/>
              </w:rPr>
              <w:t>Нижний Новгород, всего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446 724,5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1 841 462,2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100,0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Сельское хозяйство, охота и лесное хозяйство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1 173,1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2 232,9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52,5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0,1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Добыча полезных ископаемых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615,5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857,3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71,8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0,05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Обрабатывающие производства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88 341,2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724 035,3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39,3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Обеспечение электрической энергией, газом, паром, кондиционирование воздуха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8 200,7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88 099,8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9,3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4,8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Водоснабжение, водоотведение, организация сбора и утилизация отходов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5 465,6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27 189,9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1,5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Строительство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87 777,2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124 629,6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70,4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6,8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67 585,5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83 846,7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4,6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 xml:space="preserve"> Транспортировка и хранение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36 553,1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258 751,3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14,1</w:t>
            </w:r>
          </w:p>
        </w:tc>
      </w:tr>
      <w:tr w:rsidR="00832A05">
        <w:trPr>
          <w:trHeight w:val="2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bCs/>
                <w:iCs/>
              </w:rPr>
            </w:pPr>
            <w:r>
              <w:rPr>
                <w:bCs/>
                <w:iCs/>
              </w:rPr>
              <w:t>Прочие виды деятельности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151 012,7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531 819,5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28,9</w:t>
            </w:r>
          </w:p>
        </w:tc>
      </w:tr>
    </w:tbl>
    <w:p w:rsidR="00832A05" w:rsidRDefault="00832A05">
      <w:pPr>
        <w:ind w:firstLine="709"/>
        <w:jc w:val="both"/>
        <w:rPr>
          <w:spacing w:val="2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январе – июле текущего года, несмотря на сохранение санкционного давления, продолжается рост промышленного производства. Наиболее активную динамику продемонстрировали: производство готовых металлических изделий, кроме машин и оборудования; производство л</w:t>
      </w:r>
      <w:r>
        <w:rPr>
          <w:sz w:val="28"/>
          <w:szCs w:val="28"/>
        </w:rPr>
        <w:t>екарственных средств и материалов, применяемых в медицинских целях;</w:t>
      </w:r>
      <w:r>
        <w:t xml:space="preserve"> </w:t>
      </w:r>
      <w:r>
        <w:rPr>
          <w:sz w:val="28"/>
          <w:szCs w:val="28"/>
        </w:rPr>
        <w:t>производство автотранспортных средств, прицепов и полуприцепов и др.</w:t>
      </w:r>
    </w:p>
    <w:p w:rsidR="00832A05" w:rsidRDefault="00311484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Показатели развития ключевых секторов и приоритетных видов </w:t>
      </w: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деятельности экономики города за 7 месяцев 2024 года в сравнении с соответствующим периодом предыдущего года </w:t>
      </w: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t>(по крупным и средним предприятиям)</w:t>
      </w:r>
    </w:p>
    <w:p w:rsidR="00832A05" w:rsidRDefault="00832A05">
      <w:pPr>
        <w:jc w:val="center"/>
        <w:rPr>
          <w:sz w:val="16"/>
          <w:szCs w:val="16"/>
        </w:rPr>
      </w:pPr>
    </w:p>
    <w:tbl>
      <w:tblPr>
        <w:tblW w:w="514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8"/>
        <w:gridCol w:w="4069"/>
      </w:tblGrid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Наименование ключевых секторов и приоритетных видов деятельности экономики города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Темп роста объемов отгружен</w:t>
            </w:r>
            <w:r>
              <w:t>ной продукции за январь-июль 2024 года</w:t>
            </w:r>
          </w:p>
          <w:p w:rsidR="00832A05" w:rsidRDefault="00311484">
            <w:pPr>
              <w:jc w:val="center"/>
            </w:pPr>
            <w:r>
              <w:t>к соответствующему периоду 2023 года</w:t>
            </w:r>
          </w:p>
          <w:p w:rsidR="00832A05" w:rsidRDefault="00311484">
            <w:pPr>
              <w:jc w:val="center"/>
            </w:pPr>
            <w:r>
              <w:t>(в действующих ценах / в сопоставимых ценах), %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Нижний Новгород, всего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125,5/117,2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Обрабатывающие производства, в т.ч.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134,7/124,3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готовых металлических изделий, кр</w:t>
            </w:r>
            <w:r>
              <w:t>оме машин и оборудования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181,9/162,3</w:t>
            </w:r>
          </w:p>
        </w:tc>
      </w:tr>
      <w:tr w:rsidR="00832A05">
        <w:trPr>
          <w:trHeight w:val="469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производство лекарственных средств и материалов, применяемых в медицинских целях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145,4/136,5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производство автотранспортных средств, прицепов и полуприцепов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141,4/128,0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производство бумаги и бумажных изделий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127,8/116,9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машин и оборудования, не включенных в другие группировки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127,4/109,4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пищевых продуктов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124,2/113,9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химических веществ и химических продуктов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119,9/120,9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компьютеров, электронных и оптическ</w:t>
            </w:r>
            <w:r>
              <w:t>их изделий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114,8/112,6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напитков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112,8/104,0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прочих транспортных средств и оборудования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88,6/74,1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107,1/105,5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136,1/134,8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Транспортировка и хранение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104,7/99,0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Строительство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127,3/119,1</w:t>
            </w:r>
          </w:p>
        </w:tc>
      </w:tr>
      <w:tr w:rsidR="00832A05">
        <w:trPr>
          <w:trHeight w:val="20"/>
        </w:trPr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iCs/>
              </w:rPr>
            </w:pPr>
            <w:r>
              <w:rPr>
                <w:iCs/>
              </w:rPr>
              <w:t>Торговля оптовая и розничная; ремонт автотранспортных средств и мото</w:t>
            </w:r>
            <w:r>
              <w:rPr>
                <w:iCs/>
              </w:rPr>
              <w:t>циклов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103,5/96,6</w:t>
            </w:r>
          </w:p>
        </w:tc>
      </w:tr>
    </w:tbl>
    <w:p w:rsidR="00832A05" w:rsidRDefault="00832A05">
      <w:pPr>
        <w:jc w:val="center"/>
      </w:pPr>
    </w:p>
    <w:p w:rsidR="00832A05" w:rsidRDefault="00311484">
      <w:pPr>
        <w:ind w:firstLine="720"/>
        <w:jc w:val="both"/>
        <w:rPr>
          <w:sz w:val="28"/>
        </w:rPr>
      </w:pPr>
      <w:r>
        <w:rPr>
          <w:sz w:val="28"/>
        </w:rPr>
        <w:t>Рост объемов производства в промышленности обеспечивается за счет переориентации рынков сбыта на азиатские рынки, восстановления логистических</w:t>
      </w:r>
      <w:r>
        <w:rPr>
          <w:sz w:val="28"/>
        </w:rPr>
        <w:t xml:space="preserve"> цепочек, увеличения объема экспорта промышленной продукции, локализации производства импортных компонентов.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Важной составляющей промышленного роста является широкий спектр мер поддержки на федеральном и региональном уровне, в т.ч. в рамках нацпроектов. </w:t>
      </w:r>
      <w:r>
        <w:rPr>
          <w:sz w:val="28"/>
        </w:rPr>
        <w:t>Ра</w:t>
      </w:r>
      <w:r>
        <w:rPr>
          <w:sz w:val="28"/>
        </w:rPr>
        <w:t xml:space="preserve">звитию промышленной отрасли способствует поддержка проектов промышленных предприятий, направленных на импортозамещение, создание промышленных кластеров и расширение производственной кооперации предприятий, формирование инфраструктуры для размещения новых </w:t>
      </w:r>
      <w:r>
        <w:rPr>
          <w:sz w:val="28"/>
        </w:rPr>
        <w:lastRenderedPageBreak/>
        <w:t>и</w:t>
      </w:r>
      <w:r>
        <w:rPr>
          <w:sz w:val="28"/>
        </w:rPr>
        <w:t xml:space="preserve">нновационных производств, внедрение инструментов бережливого производства. </w:t>
      </w:r>
      <w:r>
        <w:rPr>
          <w:sz w:val="28"/>
          <w:szCs w:val="28"/>
        </w:rPr>
        <w:t>В текущем году продолжается реализация региональных проектов «Адресная поддержка повышения производительности труда на предприятиях Нижегородской области», «Системные меры по повыше</w:t>
      </w:r>
      <w:r>
        <w:rPr>
          <w:sz w:val="28"/>
          <w:szCs w:val="28"/>
        </w:rPr>
        <w:t xml:space="preserve">нию производительности труда в Нижегородской области» в рамках национального проекта «Производительность труда». 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промышленной политики, развития и укрепления предпринимательского сектора в январе 2024 года Правительством Нижегородской о</w:t>
      </w:r>
      <w:r>
        <w:rPr>
          <w:sz w:val="28"/>
          <w:szCs w:val="28"/>
        </w:rPr>
        <w:t>бласти была создана АНО «Корпорация развития промышленности и предпринимательства Нижегородской области», в структуру которой вошли 6 центров (Центр «Мой Бизнес»; Центр поддержки предпринимательства; Центр кластерного развития; Региональный центр компетенц</w:t>
      </w:r>
      <w:r>
        <w:rPr>
          <w:sz w:val="28"/>
          <w:szCs w:val="28"/>
        </w:rPr>
        <w:t>ий; Центр поддержки экспорта; Центр импорта и импортозамещения).</w:t>
      </w:r>
    </w:p>
    <w:p w:rsidR="00832A05" w:rsidRDefault="00311484">
      <w:pPr>
        <w:ind w:firstLine="709"/>
        <w:jc w:val="both"/>
        <w:rPr>
          <w:sz w:val="28"/>
        </w:rPr>
      </w:pPr>
      <w:r>
        <w:rPr>
          <w:sz w:val="28"/>
        </w:rPr>
        <w:t>К концу 2024 года оцениваемый объем продукции, отгруженной крупными, средними и малыми предприятиями, т.е. в целом по экономике, составит более 2 153,7 млрд. рублей, что на 17% выше объема пр</w:t>
      </w:r>
      <w:r>
        <w:rPr>
          <w:sz w:val="28"/>
        </w:rPr>
        <w:t xml:space="preserve">ошлого года в действующих ценах (в сопоставимых ценах – 109,7%). </w:t>
      </w:r>
    </w:p>
    <w:p w:rsidR="00832A05" w:rsidRDefault="00311484">
      <w:pPr>
        <w:ind w:firstLine="720"/>
        <w:jc w:val="both"/>
        <w:rPr>
          <w:sz w:val="28"/>
        </w:rPr>
      </w:pPr>
      <w:r>
        <w:rPr>
          <w:sz w:val="28"/>
          <w:szCs w:val="28"/>
        </w:rPr>
        <w:t>Несмотря на важную роль малого бизнеса, показатели развития экономики города по-прежнему обеспечиваются в основном за счет деятельности крупных и средних предприятий, доля которых в общем об</w:t>
      </w:r>
      <w:r>
        <w:rPr>
          <w:sz w:val="28"/>
          <w:szCs w:val="28"/>
        </w:rPr>
        <w:t xml:space="preserve">ъеме отгруженной продукции всей экономики города в 2024 году ожидается на уровне 75,5%. </w:t>
      </w:r>
      <w:r>
        <w:rPr>
          <w:sz w:val="28"/>
        </w:rPr>
        <w:t xml:space="preserve">Объем продукции, отгруженной крупными и средними предприятиями, к концу года составит </w:t>
      </w:r>
      <w:r>
        <w:rPr>
          <w:sz w:val="28"/>
          <w:szCs w:val="28"/>
        </w:rPr>
        <w:t xml:space="preserve">1 626,6 </w:t>
      </w:r>
      <w:r>
        <w:rPr>
          <w:sz w:val="28"/>
        </w:rPr>
        <w:t>млрд. рублей, что будет на 16,6% выше объема прошлого года (</w:t>
      </w:r>
      <w:r>
        <w:rPr>
          <w:sz w:val="28"/>
          <w:szCs w:val="28"/>
        </w:rPr>
        <w:t>в сопоставимых</w:t>
      </w:r>
      <w:r>
        <w:rPr>
          <w:sz w:val="28"/>
          <w:szCs w:val="28"/>
        </w:rPr>
        <w:t xml:space="preserve"> ценах – 109,4%</w:t>
      </w:r>
      <w:r>
        <w:rPr>
          <w:sz w:val="28"/>
        </w:rPr>
        <w:t xml:space="preserve">). </w:t>
      </w:r>
    </w:p>
    <w:p w:rsidR="00832A05" w:rsidRDefault="003114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оценочным данным доля продукции, произведенной малыми предприятиями, в общем объеме отгруженной продукции всей экономики города к концу 2024 году составит – 24,5%. </w:t>
      </w:r>
    </w:p>
    <w:p w:rsidR="00832A05" w:rsidRDefault="00832A0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 Основные тенденции развития экономики города в 2025-2027 годы</w:t>
      </w:r>
    </w:p>
    <w:p w:rsidR="00832A05" w:rsidRDefault="00832A05">
      <w:pPr>
        <w:ind w:left="709"/>
        <w:jc w:val="both"/>
        <w:rPr>
          <w:sz w:val="28"/>
          <w:szCs w:val="28"/>
        </w:rPr>
      </w:pPr>
    </w:p>
    <w:p w:rsidR="00832A05" w:rsidRDefault="00311484">
      <w:pPr>
        <w:ind w:firstLine="709"/>
        <w:jc w:val="both"/>
      </w:pPr>
      <w:r>
        <w:rPr>
          <w:sz w:val="28"/>
        </w:rPr>
        <w:t>Сохранению позитивных тенденций в экономике города в среднесрочной перспективе будет способствовать достижение национальных целей и выполнение задач, поставленных в Указе Президента Российской Федерации от 7 мая 2024 г. № 309 «О национальных целях развит</w:t>
      </w:r>
      <w:r>
        <w:rPr>
          <w:sz w:val="28"/>
        </w:rPr>
        <w:t>ия Российской Федерации на период до 2030 года и на перспективу до 2036 года».</w:t>
      </w:r>
      <w:r>
        <w:t xml:space="preserve"> </w:t>
      </w:r>
    </w:p>
    <w:p w:rsidR="00832A05" w:rsidRDefault="00311484">
      <w:pPr>
        <w:ind w:firstLine="709"/>
        <w:jc w:val="both"/>
        <w:rPr>
          <w:color w:val="FF0000"/>
          <w:sz w:val="28"/>
        </w:rPr>
      </w:pPr>
      <w:r>
        <w:rPr>
          <w:sz w:val="28"/>
        </w:rPr>
        <w:t>Для достижения поставленных Президентом национальных целей, среди которых «устойчивая и динамичная экономика», «технологическое лидерство», «цифровая трансформация», Правительс</w:t>
      </w:r>
      <w:r>
        <w:rPr>
          <w:sz w:val="28"/>
        </w:rPr>
        <w:t xml:space="preserve">твом Российской Федерации ведется формирование Единого плана по достижению национальных целей развития Российской Федерации на период до 2030 года и на перспективу до 2036 года. Также ведется разработка </w:t>
      </w:r>
      <w:r>
        <w:rPr>
          <w:color w:val="auto"/>
          <w:sz w:val="28"/>
        </w:rPr>
        <w:t>портфеля новых национальных проектов.</w:t>
      </w:r>
      <w:r>
        <w:rPr>
          <w:color w:val="FF0000"/>
          <w:sz w:val="28"/>
        </w:rPr>
        <w:t xml:space="preserve">  </w:t>
      </w:r>
    </w:p>
    <w:p w:rsidR="00832A05" w:rsidRDefault="00311484">
      <w:pPr>
        <w:ind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>Достижение на</w:t>
      </w:r>
      <w:r>
        <w:rPr>
          <w:color w:val="auto"/>
          <w:sz w:val="28"/>
        </w:rPr>
        <w:t xml:space="preserve">циональной цели технологического лидерства как фактора устойчивого экономического роста за счет развития </w:t>
      </w:r>
      <w:r>
        <w:rPr>
          <w:sz w:val="28"/>
        </w:rPr>
        <w:t>высокотехнологичных отраслей, укрепления конкурентоспособности на мировом рынке</w:t>
      </w:r>
      <w:r>
        <w:rPr>
          <w:color w:val="auto"/>
          <w:sz w:val="28"/>
        </w:rPr>
        <w:t xml:space="preserve"> </w:t>
      </w:r>
      <w:r>
        <w:rPr>
          <w:sz w:val="28"/>
        </w:rPr>
        <w:t>будет обеспечиваться в рамках национальных проектов: «Средства производ</w:t>
      </w:r>
      <w:r>
        <w:rPr>
          <w:sz w:val="28"/>
        </w:rPr>
        <w:t xml:space="preserve">ства и </w:t>
      </w:r>
      <w:r>
        <w:rPr>
          <w:sz w:val="28"/>
        </w:rPr>
        <w:lastRenderedPageBreak/>
        <w:t>автоматизации», «Новые материалы и химия», «Промышленное обеспечение транспортной мобильности», «Новые технологии сбережения здоровья», «Технологическое обеспечение продовольственной безопасности», «Беспилотные авиационные системы», «Развитие космич</w:t>
      </w:r>
      <w:r>
        <w:rPr>
          <w:sz w:val="28"/>
        </w:rPr>
        <w:t>еской деятельности», «Новые атомные и энергетические технологии», а также в рамках национального проекта «Экономика данных и цифровая трансформация государства».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 создание</w:t>
      </w:r>
      <w:proofErr w:type="gramEnd"/>
      <w:r>
        <w:rPr>
          <w:sz w:val="28"/>
          <w:szCs w:val="28"/>
        </w:rPr>
        <w:t xml:space="preserve"> новых конкурентоспособных технологий и продуктов с их последующей коммерциализаци</w:t>
      </w:r>
      <w:r>
        <w:rPr>
          <w:sz w:val="28"/>
          <w:szCs w:val="28"/>
        </w:rPr>
        <w:t>ей, а также подготовку кадров для решения научно-технологических задач направлена деятельность: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научно-образовательного центра (НОЦ) Нижегородской области;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инновационного научно-технологического центра «Квантовая долина»;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нижегородского инновационного бизн</w:t>
      </w:r>
      <w:r>
        <w:rPr>
          <w:sz w:val="28"/>
          <w:szCs w:val="28"/>
        </w:rPr>
        <w:t>ес-инкубатора и др.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федерального проекта «Создание сети современных кампусов» создается ИТ-кампус «НЕЙМАРК», где будет осуществляться подготовка полного спектра специалистов для ИТ-компаний. Реализация данного проекта </w:t>
      </w:r>
      <w:r>
        <w:rPr>
          <w:rFonts w:eastAsia="Times New Roman"/>
          <w:sz w:val="28"/>
        </w:rPr>
        <w:t>даст импульс развитию не толь</w:t>
      </w:r>
      <w:r>
        <w:rPr>
          <w:rFonts w:eastAsia="Times New Roman"/>
          <w:sz w:val="28"/>
        </w:rPr>
        <w:t>ко ИТ сектора, но и всей экономики Нижнего Новгорода, которая получит кадры, компетенции которых будут отвечать самым современным требованиям, и прорывные решения, способные обеспечить качественно новый уровень развития.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XIV международной промышле</w:t>
      </w:r>
      <w:r>
        <w:rPr>
          <w:sz w:val="28"/>
          <w:szCs w:val="28"/>
        </w:rPr>
        <w:t>нной выставки «Иннопром-2024», Нижегородский технопарк «</w:t>
      </w:r>
      <w:proofErr w:type="spellStart"/>
      <w:r>
        <w:rPr>
          <w:sz w:val="28"/>
          <w:szCs w:val="28"/>
        </w:rPr>
        <w:t>Анкудиновка</w:t>
      </w:r>
      <w:proofErr w:type="spellEnd"/>
      <w:r>
        <w:rPr>
          <w:sz w:val="28"/>
          <w:szCs w:val="28"/>
        </w:rPr>
        <w:t>» заключил соглашение о сотрудничестве с Уральским университетским комплексом (технопарк «Университетский»), в рамках которого планируется осуществлять совместную реализацию научных проекто</w:t>
      </w:r>
      <w:r>
        <w:rPr>
          <w:sz w:val="28"/>
          <w:szCs w:val="28"/>
        </w:rPr>
        <w:t>в в области инноваций и создавать условия для трансфера технологий. Также, в ходе данной выставки Правительство Нижегородской области заключило соглашение о сотрудничестве с Московским государственным технологическим университетом «СТАНКИН», которое направ</w:t>
      </w:r>
      <w:r>
        <w:rPr>
          <w:sz w:val="28"/>
          <w:szCs w:val="28"/>
        </w:rPr>
        <w:t>лено на развитие машиностроительных технологий, включая станкостроительную продукцию, автоматизированные и цифровые производственные системы.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</w:rPr>
        <w:t>Реализация вышеперечисленных мероприятий позволяет прогнозировать устойчивую динамику экономического роста в после</w:t>
      </w:r>
      <w:r>
        <w:rPr>
          <w:sz w:val="28"/>
        </w:rPr>
        <w:t xml:space="preserve">дующие годы. Величина отгруженной продукции крупными, средними и малыми предприятиями в 2025 году составит 2 359,4 млрд. рублей (темп роста в </w:t>
      </w:r>
      <w:r>
        <w:rPr>
          <w:sz w:val="28"/>
          <w:szCs w:val="28"/>
        </w:rPr>
        <w:t>сопоставимых ценах – 104,8%</w:t>
      </w:r>
      <w:r>
        <w:rPr>
          <w:sz w:val="28"/>
        </w:rPr>
        <w:t xml:space="preserve">), </w:t>
      </w:r>
      <w:r>
        <w:rPr>
          <w:sz w:val="28"/>
          <w:szCs w:val="28"/>
        </w:rPr>
        <w:t xml:space="preserve">в 2026-2027 гг. рост </w:t>
      </w:r>
      <w:r>
        <w:rPr>
          <w:sz w:val="28"/>
        </w:rPr>
        <w:t xml:space="preserve">в </w:t>
      </w:r>
      <w:r>
        <w:rPr>
          <w:sz w:val="28"/>
          <w:szCs w:val="28"/>
        </w:rPr>
        <w:t xml:space="preserve">сопоставимых ценах прогнозируется на уровне 103,2%-104,0%. </w:t>
      </w:r>
    </w:p>
    <w:p w:rsidR="00832A05" w:rsidRDefault="00311484">
      <w:pPr>
        <w:ind w:firstLine="709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рогнозируемая на 2025 год величина отгруженной продукции крупными и средними предприятиями составит 1 774,3 млрд. рублей, темп роста в сопоставимых ценах – 104,4%.</w:t>
      </w:r>
    </w:p>
    <w:p w:rsidR="00832A05" w:rsidRDefault="00311484">
      <w:pPr>
        <w:rPr>
          <w:sz w:val="28"/>
        </w:rPr>
      </w:pPr>
      <w:r>
        <w:rPr>
          <w:sz w:val="28"/>
        </w:rPr>
        <w:br w:type="page" w:clear="all"/>
      </w:r>
    </w:p>
    <w:p w:rsidR="00832A05" w:rsidRDefault="00311484">
      <w:pPr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Доля объема отгруженной продукции </w:t>
      </w:r>
    </w:p>
    <w:p w:rsidR="00832A05" w:rsidRDefault="00311484">
      <w:pPr>
        <w:ind w:firstLine="709"/>
        <w:jc w:val="center"/>
        <w:rPr>
          <w:b/>
          <w:sz w:val="28"/>
        </w:rPr>
      </w:pPr>
      <w:r>
        <w:rPr>
          <w:b/>
          <w:bCs/>
          <w:sz w:val="28"/>
        </w:rPr>
        <w:t>крупными и средними предприятиями за 2025-2027 гг.</w:t>
      </w:r>
    </w:p>
    <w:p w:rsidR="00832A05" w:rsidRDefault="00311484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inline distT="0" distB="0" distL="0" distR="0">
                <wp:extent cx="5886450" cy="2857500"/>
                <wp:effectExtent l="19050" t="0" r="0" b="0"/>
                <wp:docPr id="1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_i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8645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3.50pt;height:225.00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</w:p>
    <w:p w:rsidR="00832A05" w:rsidRDefault="00832A05">
      <w:pPr>
        <w:ind w:firstLine="709"/>
        <w:jc w:val="both"/>
        <w:rPr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аибольшая доля в </w:t>
      </w:r>
      <w:r>
        <w:rPr>
          <w:sz w:val="28"/>
        </w:rPr>
        <w:t xml:space="preserve">объеме отгрузки </w:t>
      </w:r>
      <w:r>
        <w:rPr>
          <w:sz w:val="28"/>
          <w:szCs w:val="28"/>
        </w:rPr>
        <w:t>в 2025-2027 гг. по крупным и средним предприятиям будет приходиться на «обрабатывающие производства». В прогнозируемом периоде ожидается увеличение доли данного сектора до 49,9%. Также, увеличение доли планируется в сектора</w:t>
      </w:r>
      <w:r>
        <w:rPr>
          <w:sz w:val="28"/>
          <w:szCs w:val="28"/>
        </w:rPr>
        <w:t>х «транспортировка и хранение» - до 18,1% и «обеспечение электрической энергией, газом, паром, кондиционирование воздуха» - до 6,3%.</w:t>
      </w:r>
    </w:p>
    <w:p w:rsidR="00832A05" w:rsidRDefault="0031148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 концу 2027 года объем отгруженной продукции малыми предприятиями прогнозируется на уровне 695,2 млрд. рублей, т.е. к конц</w:t>
      </w:r>
      <w:r>
        <w:rPr>
          <w:sz w:val="28"/>
          <w:szCs w:val="28"/>
        </w:rPr>
        <w:t>у прогнозного периода ожидается увеличение доли малых предприятий до 25,4%.</w:t>
      </w:r>
    </w:p>
    <w:p w:rsidR="00832A05" w:rsidRDefault="00832A05">
      <w:pPr>
        <w:rPr>
          <w:bCs/>
          <w:sz w:val="28"/>
          <w:szCs w:val="28"/>
        </w:rPr>
      </w:pPr>
    </w:p>
    <w:p w:rsidR="00832A05" w:rsidRDefault="003114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Отгружено товаров собственного производства </w:t>
      </w:r>
    </w:p>
    <w:p w:rsidR="00832A05" w:rsidRDefault="003114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малыми предприятиями, млрд. рублей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724400" cy="2314575"/>
                <wp:effectExtent l="19050" t="0" r="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912221" name="Picture 3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724398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2.00pt;height:182.25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</w:p>
    <w:p w:rsidR="00832A05" w:rsidRDefault="00311484"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</w:p>
    <w:p w:rsidR="00832A05" w:rsidRDefault="00311484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Отгрузка товаров собственного производства, выполнения работ, услуг</w:t>
      </w:r>
    </w:p>
    <w:p w:rsidR="00832A05" w:rsidRDefault="00311484">
      <w:pPr>
        <w:jc w:val="center"/>
        <w:rPr>
          <w:sz w:val="26"/>
          <w:szCs w:val="26"/>
        </w:rPr>
      </w:pPr>
      <w:r>
        <w:rPr>
          <w:sz w:val="26"/>
          <w:szCs w:val="26"/>
        </w:rPr>
        <w:t>собственными силами крупными и средними предприятиями</w:t>
      </w:r>
    </w:p>
    <w:p w:rsidR="00832A05" w:rsidRDefault="00311484">
      <w:pPr>
        <w:jc w:val="center"/>
        <w:rPr>
          <w:szCs w:val="16"/>
        </w:rPr>
      </w:pPr>
      <w:r>
        <w:rPr>
          <w:sz w:val="26"/>
          <w:szCs w:val="26"/>
        </w:rPr>
        <w:t>города Нижнего Новгорода в 2023-2025 гг.</w:t>
      </w:r>
    </w:p>
    <w:p w:rsidR="00832A05" w:rsidRDefault="00311484">
      <w:pPr>
        <w:spacing w:after="120"/>
        <w:ind w:left="283"/>
        <w:jc w:val="right"/>
      </w:pPr>
      <w:r>
        <w:t>(млн. руб.)</w:t>
      </w:r>
    </w:p>
    <w:tbl>
      <w:tblPr>
        <w:tblW w:w="99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0"/>
        <w:gridCol w:w="1333"/>
        <w:gridCol w:w="1203"/>
        <w:gridCol w:w="1307"/>
        <w:gridCol w:w="1985"/>
      </w:tblGrid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spacing w:after="120"/>
              <w:ind w:left="283"/>
              <w:jc w:val="center"/>
            </w:pPr>
            <w:r>
              <w:t>Виды деятельности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отчет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прогноз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Темп роста 2025/2024, %</w:t>
            </w:r>
          </w:p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(действ./</w:t>
            </w:r>
            <w:proofErr w:type="spellStart"/>
            <w:r>
              <w:rPr>
                <w:sz w:val="22"/>
                <w:szCs w:val="22"/>
                <w:lang w:eastAsia="en-US"/>
              </w:rPr>
              <w:t>сопост</w:t>
            </w:r>
            <w:proofErr w:type="spellEnd"/>
            <w:r>
              <w:rPr>
                <w:sz w:val="22"/>
                <w:szCs w:val="22"/>
                <w:lang w:eastAsia="en-US"/>
              </w:rPr>
              <w:t>.)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1 394 737,6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1 626 557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1 774 326,8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109,1/104,4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</w:rPr>
            </w:pPr>
            <w:r>
              <w:rPr>
                <w:sz w:val="22"/>
              </w:rPr>
              <w:t>Сельское, лесное хозяйство, охота, рыболовство и рыбоводство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1 059,8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980,2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1 030,4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105,1/100,3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</w:rPr>
            </w:pPr>
            <w:r>
              <w:rPr>
                <w:sz w:val="22"/>
              </w:rPr>
              <w:t>Добыча полезных ископаемых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159,5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107,8/102,9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</w:rPr>
            </w:pPr>
            <w:r>
              <w:rPr>
                <w:sz w:val="22"/>
              </w:rPr>
              <w:t>Обрабатывающие производства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635 694,1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798 078,0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878 735,1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110,1/105,1</w:t>
            </w:r>
          </w:p>
        </w:tc>
      </w:tr>
      <w:tr w:rsidR="00832A05">
        <w:trPr>
          <w:trHeight w:val="303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в том числе по подразделам:</w:t>
            </w:r>
          </w:p>
          <w:p w:rsidR="00832A05" w:rsidRDefault="00311484">
            <w:r>
              <w:t>производство пищевых продуктов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53 871,8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61 189,2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64 065,1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104,7/101,7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напитков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28 931,8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32 114,3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34 522,8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107,5/104,4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текстильных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915,4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970,2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одежды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1 833,1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1 833,1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1 942,8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633,8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732,1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781,2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106,7/103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бумаги и бумажных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23 452,0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28 073,6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29 465,2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деятельность полиграфическая и копирование носителей информации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1 173,6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1 387,6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1 497,8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107,9/103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химических веществ и химических продуктов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25 963,3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31 778,0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34 498,8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108,6/103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лекарственных средств и материалов, применяемых в медицинских целях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29 159,9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34 892,2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37 879,6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108,6/103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резиновых и пластмассовых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3 841,6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6 776,3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7 356,5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108,6/103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прочей неметаллической минеральной продукции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10 489,3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11 698,7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12 591,9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107,6/103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металлургическое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11 233,3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12 615,3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13 591,4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107,7/103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готовых металлических изделий, кроме машин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105 418,4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148 645,4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158 616,6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106,7/103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компьютеров, электронных и оптических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51 883,9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54 827,1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59 973,1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109,4/103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электрического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7 750,5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9 737,2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10 651,1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109,4/103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машин и оборудования, не включенных в другие группировки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15 054,9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17 396,3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19 029,1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109,4/103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автотранспортных средств, прицепов и полуприцепов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215 343,4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290 611,5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333 912,6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114,9/108,2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прочих транспортных средств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33 501,5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37 846,4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41 242,7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t>производство мебели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5 278,3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6 164,0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6 577,5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</w:pPr>
            <w:r>
              <w:t>106,7/103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lastRenderedPageBreak/>
              <w:t>производство прочих готовых изделий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1 192,4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1 518,2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1 660,7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109,4/103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r>
              <w:rPr>
                <w:lang w:eastAsia="en-US"/>
              </w:rPr>
              <w:t>ремонт и монтаж машин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8 786,5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7 326,0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7 908,0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107,9/103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Обеспечение </w:t>
            </w:r>
            <w:proofErr w:type="spellStart"/>
            <w:r>
              <w:rPr>
                <w:sz w:val="22"/>
                <w:szCs w:val="22"/>
                <w:lang w:eastAsia="en-US"/>
              </w:rPr>
              <w:t>электрич</w:t>
            </w:r>
            <w:proofErr w:type="spellEnd"/>
            <w:r>
              <w:rPr>
                <w:sz w:val="22"/>
                <w:szCs w:val="22"/>
                <w:lang w:eastAsia="en-US"/>
              </w:rPr>
              <w:t>. энергией, газом, паром, кондиционирование воздуха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79 899,1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84 608,3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89 261,8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105,5/100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Водоснабжение, водоотведение, организация сбора и утилизация отходов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21 724,3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26 291,8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29 029,2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110,4/102,9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Строительство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36 852,4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42 152,6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46 738,8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110,9/105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16 261,2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17 391,5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19 082,8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109,7/105</w:t>
            </w:r>
          </w:p>
        </w:tc>
      </w:tr>
      <w:tr w:rsidR="00832A05">
        <w:trPr>
          <w:trHeight w:val="20"/>
          <w:jc w:val="center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Транспортировка и хранение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222 198,2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223 830,9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244 148,1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109,1/103</w:t>
            </w:r>
          </w:p>
        </w:tc>
      </w:tr>
    </w:tbl>
    <w:p w:rsidR="00832A05" w:rsidRDefault="00832A05">
      <w:pPr>
        <w:rPr>
          <w:sz w:val="28"/>
          <w:szCs w:val="28"/>
        </w:rPr>
      </w:pP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Обрабатывающие производства</w:t>
      </w:r>
    </w:p>
    <w:p w:rsidR="00832A05" w:rsidRDefault="00832A05">
      <w:pPr>
        <w:ind w:firstLine="709"/>
        <w:jc w:val="both"/>
        <w:rPr>
          <w:sz w:val="28"/>
          <w:szCs w:val="28"/>
        </w:rPr>
      </w:pPr>
    </w:p>
    <w:p w:rsidR="00832A05" w:rsidRDefault="0031148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Обрабатывающие производства характеризуются многоотраслевой структурой и составляют наибольшую долю (87,5%) в общем объеме промышленного производства.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ожидаемый объем отгрузки крупных и средних предприятий обрабатывающих производств составит около 798,1</w:t>
      </w:r>
      <w:r>
        <w:t xml:space="preserve"> </w:t>
      </w:r>
      <w:r>
        <w:rPr>
          <w:sz w:val="28"/>
          <w:szCs w:val="28"/>
        </w:rPr>
        <w:t>млрд. рублей (в сопоставимых ценах – 113,6%). Прогнозный объем отгрузки на 2025 год - около 878,7 млрд. рублей, что на 10,1 % выше, чем в 202</w:t>
      </w:r>
      <w:r>
        <w:rPr>
          <w:sz w:val="28"/>
          <w:szCs w:val="28"/>
        </w:rPr>
        <w:t xml:space="preserve">4 году в действующих ценах (в сопоставимых ценах – 105,1%). 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обрабатывающих производств к концу прогнозного периода ожидается увеличение доли в «производстве автотранспортных средств, прицепов и полуприцепов» - до 39,2%.</w:t>
      </w:r>
    </w:p>
    <w:p w:rsidR="00832A05" w:rsidRDefault="00832A05">
      <w:pPr>
        <w:ind w:firstLine="709"/>
        <w:jc w:val="both"/>
        <w:rPr>
          <w:sz w:val="28"/>
          <w:szCs w:val="28"/>
        </w:rPr>
      </w:pPr>
    </w:p>
    <w:p w:rsidR="00832A05" w:rsidRDefault="00311484">
      <w:pPr>
        <w:jc w:val="center"/>
        <w:rPr>
          <w:sz w:val="28"/>
          <w:szCs w:val="28"/>
        </w:rPr>
      </w:pPr>
      <w:r>
        <w:rPr>
          <w:sz w:val="28"/>
          <w:szCs w:val="28"/>
        </w:rPr>
        <w:t>Структура обрабатываю</w:t>
      </w:r>
      <w:r>
        <w:rPr>
          <w:sz w:val="28"/>
          <w:szCs w:val="28"/>
        </w:rPr>
        <w:t>щих производств в 2024 и 2027 гг., %</w:t>
      </w:r>
    </w:p>
    <w:p w:rsidR="00832A05" w:rsidRDefault="00311484">
      <w:pPr>
        <w:ind w:firstLine="709"/>
        <w:jc w:val="both"/>
      </w:pPr>
      <w:r>
        <w:rPr>
          <w:sz w:val="20"/>
          <w:szCs w:val="20"/>
        </w:rPr>
        <w:fldChar w:fldCharType="begin"/>
      </w:r>
      <w:r>
        <w:instrText xml:space="preserve"> LINK Excel.Sheet.12 "C:\\Мои документы\\Прогноз соц-эк развития по годам\\Прогноз соц-эк развития 2024\\СЭД\\Прогноз_2023\\Предварительный прогноз 2024-2026 (предварительный).xlsx" "Расчетный лист (2023)!R132C1:R142C1"</w:instrText>
      </w:r>
      <w:r>
        <w:instrText xml:space="preserve"> \a \f 4 \h  \* MERGEFORMAT </w:instrText>
      </w:r>
      <w:r>
        <w:rPr>
          <w:sz w:val="20"/>
          <w:szCs w:val="20"/>
        </w:rPr>
        <w:fldChar w:fldCharType="separate"/>
      </w: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4673"/>
        <w:gridCol w:w="2693"/>
        <w:gridCol w:w="2410"/>
      </w:tblGrid>
      <w:tr w:rsidR="00832A05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832A05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 год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автотранспортных средств, прицепов и полуприцепов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39,2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готовых металлических изделий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18,6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пищевых продуктов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компьютеров, электронных и оптических изделий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6,9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прочих транспортных средств и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лекарственных средств и материалов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химических веществ и химических продуктов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напитков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бумаги и бумажных изделий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машин и оборудования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</w:tr>
      <w:tr w:rsidR="00832A05">
        <w:trPr>
          <w:trHeight w:val="20"/>
          <w:jc w:val="center"/>
        </w:trPr>
        <w:tc>
          <w:tcPr>
            <w:tcW w:w="467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</w:t>
            </w:r>
          </w:p>
        </w:tc>
        <w:tc>
          <w:tcPr>
            <w:tcW w:w="269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241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</w:t>
            </w:r>
          </w:p>
        </w:tc>
      </w:tr>
    </w:tbl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производстве автотранспортных средств, прицепов и полуприцепов </w:t>
      </w:r>
      <w:r>
        <w:rPr>
          <w:rFonts w:ascii="Times New Roman" w:hAnsi="Times New Roman"/>
          <w:sz w:val="28"/>
          <w:szCs w:val="28"/>
        </w:rPr>
        <w:t xml:space="preserve">объем отгруженных товаров собственного производства, выполненных работ и услуг по крупным и средним предприятиям </w:t>
      </w:r>
      <w:r>
        <w:rPr>
          <w:rFonts w:ascii="Times New Roman" w:hAnsi="Times New Roman"/>
          <w:bCs/>
          <w:sz w:val="28"/>
          <w:szCs w:val="28"/>
        </w:rPr>
        <w:t xml:space="preserve">по оценке </w:t>
      </w:r>
      <w:r>
        <w:rPr>
          <w:rFonts w:ascii="Times New Roman" w:hAnsi="Times New Roman"/>
          <w:sz w:val="28"/>
          <w:szCs w:val="28"/>
        </w:rPr>
        <w:t xml:space="preserve">2024 года составит – 290,6 млрд. </w:t>
      </w:r>
      <w:r>
        <w:rPr>
          <w:rFonts w:ascii="Times New Roman" w:hAnsi="Times New Roman"/>
          <w:sz w:val="28"/>
          <w:szCs w:val="28"/>
        </w:rPr>
        <w:lastRenderedPageBreak/>
        <w:t>рублей (в сопоставимых ценах – 121,7</w:t>
      </w:r>
      <w:r>
        <w:rPr>
          <w:rFonts w:ascii="Times New Roman" w:hAnsi="Times New Roman"/>
          <w:bCs/>
          <w:sz w:val="28"/>
          <w:szCs w:val="28"/>
        </w:rPr>
        <w:t>%). В 2025 году этот показатель увеличится до 333,9 млрд. рублей</w:t>
      </w:r>
      <w:r>
        <w:rPr>
          <w:rFonts w:ascii="Times New Roman" w:hAnsi="Times New Roman"/>
          <w:bCs/>
          <w:sz w:val="28"/>
          <w:szCs w:val="28"/>
        </w:rPr>
        <w:t xml:space="preserve">, т.е. на </w:t>
      </w:r>
      <w:r>
        <w:rPr>
          <w:rFonts w:ascii="Times New Roman" w:hAnsi="Times New Roman"/>
          <w:sz w:val="28"/>
          <w:szCs w:val="28"/>
        </w:rPr>
        <w:t>14,9%</w:t>
      </w:r>
      <w:r>
        <w:rPr>
          <w:rFonts w:ascii="Times New Roman" w:hAnsi="Times New Roman"/>
          <w:bCs/>
          <w:sz w:val="28"/>
          <w:szCs w:val="28"/>
        </w:rPr>
        <w:t xml:space="preserve"> в действующих ценах (в сопоставимых ценах -   на 8,2%).</w:t>
      </w:r>
    </w:p>
    <w:p w:rsidR="00832A05" w:rsidRDefault="00311484">
      <w:pPr>
        <w:tabs>
          <w:tab w:val="num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Динамика объемов производства автотранспортных средств, прицепов и полуприцепов в значительной степени зависит от объемов заказов крупнейшего производителя коммерческого транспорта Рос</w:t>
      </w:r>
      <w:r>
        <w:rPr>
          <w:sz w:val="28"/>
          <w:szCs w:val="28"/>
        </w:rPr>
        <w:t xml:space="preserve">сии – </w:t>
      </w:r>
      <w:r>
        <w:rPr>
          <w:sz w:val="28"/>
          <w:szCs w:val="28"/>
        </w:rPr>
        <w:t>Горьковского автозавода.</w:t>
      </w:r>
    </w:p>
    <w:p w:rsidR="00832A05" w:rsidRDefault="00311484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прогнозном периоде 2025-2027 гг. Горьковский автозавод планирует увеличение объема производства за счет дальнейшего развития модельного ряда выпускаемых автомобилей и создания новой линейки транспортных средств. Предприятие</w:t>
      </w:r>
      <w:r>
        <w:rPr>
          <w:sz w:val="28"/>
          <w:szCs w:val="28"/>
        </w:rPr>
        <w:t xml:space="preserve"> продолжит реализацию проектов, </w:t>
      </w:r>
      <w:r>
        <w:rPr>
          <w:sz w:val="28"/>
          <w:szCs w:val="28"/>
          <w:lang w:eastAsia="en-US" w:bidi="ru-RU"/>
        </w:rPr>
        <w:t>направленных на внедрение цифровых технологий и платформенных решений в целях повышения эффективности производства.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К ведущим предприятиям данного вида деятельности также относятся: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ООО «СТ Нижегородец»; ООО «Промышленные те</w:t>
      </w:r>
      <w:r>
        <w:rPr>
          <w:sz w:val="28"/>
          <w:szCs w:val="28"/>
          <w:lang w:eastAsia="en-US"/>
        </w:rPr>
        <w:t>хнологии» (</w:t>
      </w:r>
      <w:r>
        <w:rPr>
          <w:sz w:val="28"/>
          <w:szCs w:val="28"/>
        </w:rPr>
        <w:t>производство автотранспортных средств); ООО «НПО «</w:t>
      </w:r>
      <w:proofErr w:type="spellStart"/>
      <w:r>
        <w:rPr>
          <w:sz w:val="28"/>
          <w:szCs w:val="28"/>
        </w:rPr>
        <w:t>Автопромагрегат</w:t>
      </w:r>
      <w:proofErr w:type="spellEnd"/>
      <w:r>
        <w:rPr>
          <w:sz w:val="28"/>
          <w:szCs w:val="28"/>
        </w:rPr>
        <w:t xml:space="preserve">»; АО «МС </w:t>
      </w:r>
      <w:proofErr w:type="spellStart"/>
      <w:r>
        <w:rPr>
          <w:sz w:val="28"/>
          <w:szCs w:val="28"/>
        </w:rPr>
        <w:t>Автомотив</w:t>
      </w:r>
      <w:proofErr w:type="spellEnd"/>
      <w:r>
        <w:rPr>
          <w:sz w:val="28"/>
          <w:szCs w:val="28"/>
        </w:rPr>
        <w:t>» (производство прочих комплектующих и принадлежностей для автотранспортных средств); ООО ПКФ «Луидор» (производство автобусов и троллейбусов) и другие.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Увеличен</w:t>
      </w:r>
      <w:r>
        <w:rPr>
          <w:sz w:val="28"/>
          <w:szCs w:val="28"/>
        </w:rPr>
        <w:t xml:space="preserve">ие объема отгруженных товаров в 2025-2026 гг. на 20-25% ожидается на </w:t>
      </w:r>
      <w:r>
        <w:rPr>
          <w:sz w:val="28"/>
          <w:szCs w:val="28"/>
        </w:rPr>
        <w:t>ООО «СТ Нижегородец»</w:t>
      </w:r>
      <w:r>
        <w:rPr>
          <w:sz w:val="28"/>
          <w:szCs w:val="28"/>
        </w:rPr>
        <w:t xml:space="preserve"> - одном из крупнейших российских предприятий по производству автобусов, грузового транспорта и спецтехники различного назначения на</w:t>
      </w:r>
      <w:r>
        <w:rPr>
          <w:sz w:val="28"/>
          <w:szCs w:val="28"/>
        </w:rPr>
        <w:t xml:space="preserve"> базе фургонов и шасси </w:t>
      </w:r>
      <w:proofErr w:type="gramStart"/>
      <w:r>
        <w:rPr>
          <w:sz w:val="28"/>
          <w:szCs w:val="28"/>
        </w:rPr>
        <w:t>коммерческих автомобилей</w:t>
      </w:r>
      <w:proofErr w:type="gramEnd"/>
      <w:r>
        <w:rPr>
          <w:sz w:val="28"/>
          <w:szCs w:val="28"/>
        </w:rPr>
        <w:t xml:space="preserve"> ведущих зарубежных и отечественных марок.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среднесрочной перспективе предприятием планируется разработка новой продукции сегмента средне тоннажных грузовых автомобилей и автобусов на базе транспортных средств российских производителей.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2025-2027 гг</w:t>
      </w:r>
      <w:r>
        <w:rPr>
          <w:sz w:val="28"/>
          <w:szCs w:val="28"/>
        </w:rPr>
        <w:t>. составит порядка 560 млн. рублей.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производстве прочих транспортных средств и оборудования</w:t>
      </w:r>
      <w:r>
        <w:rPr>
          <w:rFonts w:ascii="Times New Roman" w:hAnsi="Times New Roman"/>
          <w:sz w:val="28"/>
          <w:szCs w:val="28"/>
        </w:rPr>
        <w:t xml:space="preserve"> объем отгруженных товаров собственного производства, выполненных работ и услуг по крупным и средним предприятиям по оценке составит 37,8 млрд. рублей, в сопостави</w:t>
      </w:r>
      <w:r>
        <w:rPr>
          <w:rFonts w:ascii="Times New Roman" w:hAnsi="Times New Roman"/>
          <w:sz w:val="28"/>
          <w:szCs w:val="28"/>
        </w:rPr>
        <w:t>мых ценах – 103,6%. К 2025 году прогнозируется увеличение объема до 41,2 млрд. рублей (на 3% в сопоставимых ценах).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Базовыми предприятиями в данной отрасли являются ПАО Завод «Красное Сормово» и ПАО «ОАК» - «НАЗ «Сокол».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</w:t>
      </w:r>
      <w:r>
        <w:rPr>
          <w:rFonts w:ascii="Times New Roman" w:hAnsi="Times New Roman"/>
          <w:sz w:val="28"/>
          <w:szCs w:val="28"/>
        </w:rPr>
        <w:t>ПАО Завод «Красное Сорм</w:t>
      </w:r>
      <w:r>
        <w:rPr>
          <w:rFonts w:ascii="Times New Roman" w:hAnsi="Times New Roman"/>
          <w:sz w:val="28"/>
          <w:szCs w:val="28"/>
        </w:rPr>
        <w:t>ово»</w:t>
      </w:r>
      <w:r>
        <w:rPr>
          <w:rFonts w:ascii="Times New Roman" w:hAnsi="Times New Roman"/>
          <w:sz w:val="28"/>
          <w:szCs w:val="28"/>
        </w:rPr>
        <w:t xml:space="preserve"> планирует увеличить объем отгруженных товаров в 2,6 раза относительно 2023 года. Это один из крупнейших судостроительных заводов в стране, входит в число лидеров российского судостроения.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Приоритетными направлениями деятельности являются гражданское с</w:t>
      </w:r>
      <w:r>
        <w:rPr>
          <w:rFonts w:ascii="Times New Roman" w:hAnsi="Times New Roman"/>
          <w:bCs/>
          <w:sz w:val="28"/>
          <w:szCs w:val="28"/>
        </w:rPr>
        <w:t xml:space="preserve">удостроение и </w:t>
      </w:r>
      <w:proofErr w:type="spellStart"/>
      <w:r>
        <w:rPr>
          <w:rFonts w:ascii="Times New Roman" w:hAnsi="Times New Roman"/>
          <w:bCs/>
          <w:sz w:val="28"/>
          <w:szCs w:val="28"/>
        </w:rPr>
        <w:t>спецмашиностроение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ПАО «Завод «Красное Сормово» продолжает строительство: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самоходных сухогрузных судов проекта RSD59 морского и смешанного «река-море» плавания «Волго-Дон макс» класса в рамках заключенных контрактов с «Государственной трансп</w:t>
      </w:r>
      <w:r>
        <w:rPr>
          <w:rFonts w:ascii="Times New Roman" w:hAnsi="Times New Roman"/>
          <w:bCs/>
          <w:sz w:val="28"/>
          <w:szCs w:val="28"/>
        </w:rPr>
        <w:t>ортной лизинговой компанией» (ГТЛК) на 34 единицы со сроками сдачи судов в 2024-2027 гг.;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пассажирских круизных судов проекта 00840 «Карелия» пассажировместимостью не менее 180 человек для судоходной компании «ВодоходЪ», со сроком сдачи заказчику первого с</w:t>
      </w:r>
      <w:r>
        <w:rPr>
          <w:rFonts w:ascii="Times New Roman" w:hAnsi="Times New Roman"/>
          <w:bCs/>
          <w:sz w:val="28"/>
          <w:szCs w:val="28"/>
        </w:rPr>
        <w:t>удна в 2025 г., второго и третьего судов - в 2026 году;</w:t>
      </w:r>
    </w:p>
    <w:p w:rsidR="00832A05" w:rsidRDefault="00311484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краболовных судов проекта КСП01, предназначенных для промысла камчатского краба и краба </w:t>
      </w:r>
      <w:proofErr w:type="spellStart"/>
      <w:r>
        <w:rPr>
          <w:rFonts w:eastAsiaTheme="minorHAnsi"/>
          <w:sz w:val="28"/>
          <w:szCs w:val="28"/>
          <w:lang w:eastAsia="en-US"/>
        </w:rPr>
        <w:t>опилио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на глубине от 20 до 400 метров, а также производства сыромороженной продукции. Серия из пяти судов строит</w:t>
      </w:r>
      <w:r>
        <w:rPr>
          <w:rFonts w:eastAsiaTheme="minorHAnsi"/>
          <w:sz w:val="28"/>
          <w:szCs w:val="28"/>
          <w:lang w:eastAsia="en-US"/>
        </w:rPr>
        <w:t>ся в рамках федеральной инвестиционной программы «Квоты под киль», со сроком сдачи судов к концу 2026 года.</w:t>
      </w:r>
    </w:p>
    <w:p w:rsidR="00832A05" w:rsidRDefault="00311484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 конце 2023 года были заключены контракты на строительство сухогруза проекта RSD59 и круизного пассажирского лайнера проекта RPV8714A «Байкал», сро</w:t>
      </w:r>
      <w:r>
        <w:rPr>
          <w:rFonts w:eastAsiaTheme="minorHAnsi"/>
          <w:sz w:val="28"/>
          <w:szCs w:val="28"/>
          <w:lang w:eastAsia="en-US"/>
        </w:rPr>
        <w:t>к сдачи обоих судов - 2025 год.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Предприятие реализует инвестиционные проекты, направленные </w:t>
      </w:r>
      <w:proofErr w:type="gramStart"/>
      <w:r>
        <w:rPr>
          <w:sz w:val="28"/>
          <w:szCs w:val="28"/>
        </w:rPr>
        <w:t>на  механизацию</w:t>
      </w:r>
      <w:proofErr w:type="gramEnd"/>
      <w:r>
        <w:rPr>
          <w:sz w:val="28"/>
          <w:szCs w:val="28"/>
        </w:rPr>
        <w:t xml:space="preserve"> (автоматизацию) работ, повышение контроля качества производственных операций («Гамма-дефектоскоп типа «</w:t>
      </w:r>
      <w:proofErr w:type="spellStart"/>
      <w:r>
        <w:rPr>
          <w:sz w:val="28"/>
          <w:szCs w:val="28"/>
        </w:rPr>
        <w:t>Exertus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Dual</w:t>
      </w:r>
      <w:proofErr w:type="spellEnd"/>
      <w:r>
        <w:rPr>
          <w:sz w:val="28"/>
          <w:szCs w:val="28"/>
        </w:rPr>
        <w:t xml:space="preserve"> 120», «Установка для приварки кре</w:t>
      </w:r>
      <w:r>
        <w:rPr>
          <w:sz w:val="28"/>
          <w:szCs w:val="28"/>
        </w:rPr>
        <w:t xml:space="preserve">пежа (шпилек)», «Сварочные полуавтоматы для сварки в среде защитных газов»). 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Одним из основных проектов</w:t>
      </w:r>
      <w:r>
        <w:rPr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сфере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бережливого производства</w:t>
      </w:r>
      <w:r>
        <w:rPr>
          <w:rFonts w:ascii="Times New Roman" w:hAnsi="Times New Roman"/>
          <w:sz w:val="28"/>
          <w:szCs w:val="28"/>
          <w:lang w:eastAsia="ru-RU"/>
        </w:rPr>
        <w:t>, реализуемых в текущем 2024 году, является проект «Оптимизация строительства пассажирского судна проекта 00840 «Карели</w:t>
      </w:r>
      <w:r>
        <w:rPr>
          <w:rFonts w:ascii="Times New Roman" w:hAnsi="Times New Roman"/>
          <w:sz w:val="28"/>
          <w:szCs w:val="28"/>
          <w:lang w:eastAsia="ru-RU"/>
        </w:rPr>
        <w:t>я»»</w:t>
      </w:r>
      <w: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(ожидаемый экономический эффект - 42 млн. рублей).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 2025-2027 гг. предприятие планирует к реализации проекты, направленные на сокращение времени протекания процесса (ВПП) строительства судов проекта КСП01 с 18 до 15 мес. и проекта RSD59 с 5,5 до 5,0 м</w:t>
      </w:r>
      <w:r>
        <w:rPr>
          <w:rFonts w:ascii="Times New Roman" w:hAnsi="Times New Roman"/>
          <w:sz w:val="28"/>
          <w:szCs w:val="28"/>
          <w:lang w:eastAsia="ru-RU"/>
        </w:rPr>
        <w:t>ес.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ПАО «ОАК» - НАЗ «Сокол»</w:t>
      </w:r>
      <w:r>
        <w:rPr>
          <w:rFonts w:ascii="Times New Roman" w:hAnsi="Times New Roman"/>
          <w:bCs/>
          <w:sz w:val="28"/>
          <w:szCs w:val="28"/>
        </w:rPr>
        <w:t xml:space="preserve"> - одно из крупнейших предприятий российской авиационной промышленности. Основными видами деятельности которог</w:t>
      </w:r>
      <w:r>
        <w:rPr>
          <w:rFonts w:ascii="Times New Roman" w:hAnsi="Times New Roman"/>
          <w:bCs/>
          <w:sz w:val="28"/>
          <w:szCs w:val="28"/>
        </w:rPr>
        <w:t xml:space="preserve">о является разработка, производство, летные испытания, сервисное обслуживание, ремонт и модернизация авиационной техники. 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среднесрочной перспективе на предприятии ожидается рост объема отгруженной продукции до 82%.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Основными целями и задачами предприяти</w:t>
      </w:r>
      <w:r>
        <w:rPr>
          <w:rFonts w:ascii="Times New Roman" w:hAnsi="Times New Roman"/>
          <w:bCs/>
          <w:sz w:val="28"/>
          <w:szCs w:val="28"/>
        </w:rPr>
        <w:t>я на планируемый период являются: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своевременное исполнение обязательств по заключенным контрактам с министерством обороны Российской Федерации (МО РФ) на ремонт и модернизацию авиационной техники;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продолжение работ по серийному производству отсеков самолет</w:t>
      </w:r>
      <w:r>
        <w:rPr>
          <w:rFonts w:ascii="Times New Roman" w:hAnsi="Times New Roman"/>
          <w:bCs/>
          <w:sz w:val="28"/>
          <w:szCs w:val="28"/>
        </w:rPr>
        <w:t>а Ил-114;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реализация проекта по изготовлению деталей и </w:t>
      </w:r>
      <w:proofErr w:type="spellStart"/>
      <w:r>
        <w:rPr>
          <w:rFonts w:ascii="Times New Roman" w:hAnsi="Times New Roman"/>
          <w:bCs/>
          <w:sz w:val="28"/>
          <w:szCs w:val="28"/>
        </w:rPr>
        <w:t>подкилевого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отсека самолета МС-21;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поиск потенциальных покупателей и заказчиков с целью обеспечения полной загрузки производства;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разработка и реализация проектов по развитию производственной системы, </w:t>
      </w:r>
      <w:r>
        <w:rPr>
          <w:rFonts w:ascii="Times New Roman" w:hAnsi="Times New Roman"/>
          <w:bCs/>
          <w:sz w:val="28"/>
          <w:szCs w:val="28"/>
        </w:rPr>
        <w:t>направленных на достижение стратегических целей предприятия и др.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Ожидаемый объем инвестиций в основной капитал предприятия за 2025-2026 гг. составит порядка 1,6 млрд. рублей.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производстве готовых металлических изделий, кроме машин и оборудования</w:t>
      </w:r>
      <w:r>
        <w:rPr>
          <w:sz w:val="28"/>
          <w:szCs w:val="28"/>
        </w:rPr>
        <w:t xml:space="preserve"> оценива</w:t>
      </w:r>
      <w:r>
        <w:rPr>
          <w:sz w:val="28"/>
          <w:szCs w:val="28"/>
        </w:rPr>
        <w:t>емый объем отгрузки товаров собственного производства в 2024 году составит 148,6 млрд. рублей,</w:t>
      </w:r>
      <w:r>
        <w:t xml:space="preserve"> </w:t>
      </w:r>
      <w:r>
        <w:rPr>
          <w:sz w:val="28"/>
          <w:szCs w:val="28"/>
        </w:rPr>
        <w:t>в сопоставимых ценах – 121,8%, к уровню прошлого года. К 2025 году объем отгрузки составит 158,6 млрд. рублей (рост на 3% в сопоставимых ценах).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Основные объемы </w:t>
      </w:r>
      <w:r>
        <w:rPr>
          <w:sz w:val="28"/>
          <w:szCs w:val="28"/>
        </w:rPr>
        <w:t xml:space="preserve">производства по направлению деятельности обеспечивают следующие ведущие предприятия: </w:t>
      </w:r>
      <w:r>
        <w:rPr>
          <w:sz w:val="28"/>
          <w:szCs w:val="28"/>
          <w:shd w:val="clear" w:color="auto" w:fill="FFFFFF"/>
        </w:rPr>
        <w:t xml:space="preserve">АО «Нижегородский завод 70-летия Победы», ПАО «Завод им. Г.И Петровского» (производство оружия и боеприпасов); </w:t>
      </w:r>
      <w:r>
        <w:rPr>
          <w:sz w:val="28"/>
          <w:szCs w:val="28"/>
        </w:rPr>
        <w:t>АО «Завод Красный Якорь» (</w:t>
      </w:r>
      <w:hyperlink r:id="rId15" w:tooltip="https://www.rusprofile.ru/codes/259320/nizhegorodskaya-oblast" w:history="1">
        <w:r>
          <w:rPr>
            <w:rStyle w:val="ae"/>
            <w:color w:val="auto"/>
            <w:sz w:val="28"/>
            <w:szCs w:val="28"/>
            <w:u w:val="none"/>
          </w:rPr>
          <w:t>производство цепей, кроме шарнирных, и составных частей к ним</w:t>
        </w:r>
      </w:hyperlink>
      <w:r>
        <w:rPr>
          <w:sz w:val="28"/>
          <w:szCs w:val="28"/>
        </w:rPr>
        <w:t>); ЗАО «Завод «Труд» (производство фурнитуры из недрагоценных металлов для одежды, о</w:t>
      </w:r>
      <w:r>
        <w:rPr>
          <w:sz w:val="28"/>
          <w:szCs w:val="28"/>
        </w:rPr>
        <w:t>буви, кожгалантереи и прочих изделий); АО «ОКБМ Африкантов» (</w:t>
      </w:r>
      <w:r>
        <w:rPr>
          <w:sz w:val="28"/>
          <w:szCs w:val="28"/>
          <w:shd w:val="clear" w:color="auto" w:fill="FFFFFF"/>
        </w:rPr>
        <w:t>производство частей ядерных установок, кроме устройств для разделения изотопов); ООО НПЦ «АНОД» (производство прочих готовых металлических изделий, не включенных в другие</w:t>
      </w:r>
      <w:r>
        <w:rPr>
          <w:color w:val="333333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группировки) и другие.</w:t>
      </w:r>
    </w:p>
    <w:p w:rsidR="00832A05" w:rsidRDefault="00311484">
      <w:pPr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</w:rPr>
        <w:t>кционерное общество «Опытное Конструкторское Бюро Машиностроения имени И.И. Африкантова»</w:t>
      </w:r>
      <w:r>
        <w:rPr>
          <w:sz w:val="28"/>
          <w:szCs w:val="28"/>
        </w:rPr>
        <w:t xml:space="preserve"> (АО «ОКБМ Африкантов», входит в состав курируемых компаний АО «</w:t>
      </w:r>
      <w:proofErr w:type="spellStart"/>
      <w:r>
        <w:rPr>
          <w:sz w:val="28"/>
          <w:szCs w:val="28"/>
        </w:rPr>
        <w:t>Атомэнергомаш</w:t>
      </w:r>
      <w:proofErr w:type="spellEnd"/>
      <w:r>
        <w:rPr>
          <w:sz w:val="28"/>
          <w:szCs w:val="28"/>
        </w:rPr>
        <w:t xml:space="preserve">» - машиностроительного холдинга </w:t>
      </w:r>
      <w:proofErr w:type="spellStart"/>
      <w:r>
        <w:rPr>
          <w:sz w:val="28"/>
          <w:szCs w:val="28"/>
        </w:rPr>
        <w:t>Госкорпорации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Росатом</w:t>
      </w:r>
      <w:proofErr w:type="spellEnd"/>
      <w:r>
        <w:rPr>
          <w:sz w:val="28"/>
          <w:szCs w:val="28"/>
        </w:rPr>
        <w:t xml:space="preserve">») - </w:t>
      </w:r>
      <w:r>
        <w:rPr>
          <w:iCs/>
          <w:sz w:val="28"/>
          <w:szCs w:val="28"/>
        </w:rPr>
        <w:t>крупный научно-производственный центр атомного машиностроения, располагающий многопрофильным конструкторским коллективом, собственной исследовательской, экспериментальной и производственной базой. Научно-производственный потенциал предприятия позволяет вып</w:t>
      </w:r>
      <w:r>
        <w:rPr>
          <w:iCs/>
          <w:sz w:val="28"/>
          <w:szCs w:val="28"/>
        </w:rPr>
        <w:t>олнять весь комплекс работ по созданию различных типов реакторных установок и оборудования для них.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«ОКБМ Африкантов» участвует в реализации национальных проектов, в модернизации и развитии базовых отраслей экономики в рамках стратегических векторов и п</w:t>
      </w:r>
      <w:r>
        <w:rPr>
          <w:sz w:val="28"/>
          <w:szCs w:val="28"/>
        </w:rPr>
        <w:t>роектов развития страны (стратегии лидерства и сфере высоких технологий).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значимые направления развития АО «ОКБМ Африкантов»: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реакторные установки для атомных ледоколов и других судов. АО «ОКБМ Африкантов» - главный конструктор всех судовых реакторных установок для атомного ледокольного флота. В АО «ОКБМ Африкантов» разрабатывается реакторная установка РИТМ-400 для атомного ледок</w:t>
      </w:r>
      <w:r>
        <w:rPr>
          <w:sz w:val="28"/>
          <w:szCs w:val="28"/>
        </w:rPr>
        <w:t>ола проекта «Лидер», который обеспечит круглогодичную навигацию по Северному морскому пути. В ближайшие годы атомный флот пополнится серией атомных ледоколов нового поколения с РУ РИТМ-200 и ледоколом проекта 10510 с РУ РИТМ-400. Разработанные проекты реак</w:t>
      </w:r>
      <w:r>
        <w:rPr>
          <w:sz w:val="28"/>
          <w:szCs w:val="28"/>
        </w:rPr>
        <w:t>торных установок могут использоваться не только для атомных ледоколов, но и для гражданских судов и атомных станций малой мощности плавучего и наземного базирования в единичном и модульном исполнении;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атомные станции малой мощности (АСММ). Флагманским прое</w:t>
      </w:r>
      <w:r>
        <w:rPr>
          <w:sz w:val="28"/>
          <w:szCs w:val="28"/>
        </w:rPr>
        <w:t xml:space="preserve">ктом в сегменте наземных АСММ выступает атомная станция с реакторной установкой РИТМ-200Н мощностью 55 </w:t>
      </w:r>
      <w:proofErr w:type="spellStart"/>
      <w:r>
        <w:rPr>
          <w:sz w:val="28"/>
          <w:szCs w:val="28"/>
        </w:rPr>
        <w:t>МВтэ</w:t>
      </w:r>
      <w:proofErr w:type="spellEnd"/>
      <w:r>
        <w:rPr>
          <w:sz w:val="28"/>
          <w:szCs w:val="28"/>
        </w:rPr>
        <w:t>, разработанная АО «ОКБМ Африкантов» (срок ввода АСММ в промышленную эксплуатацию - 2028 г.) Кроме того, АО «ОКБМ Африкантов» в части разработки судо</w:t>
      </w:r>
      <w:r>
        <w:rPr>
          <w:sz w:val="28"/>
          <w:szCs w:val="28"/>
        </w:rPr>
        <w:t xml:space="preserve">вых реакторов создает реакторные установки </w:t>
      </w:r>
      <w:r>
        <w:rPr>
          <w:sz w:val="28"/>
          <w:szCs w:val="28"/>
        </w:rPr>
        <w:lastRenderedPageBreak/>
        <w:t>для оптимизированных плавучих атомных энергоблоков (ОПЭБ) и для модернизированных плавучих энергоблоков (МПЭБ).</w:t>
      </w:r>
      <w:r>
        <w:t xml:space="preserve"> </w:t>
      </w:r>
      <w:r>
        <w:rPr>
          <w:sz w:val="28"/>
          <w:szCs w:val="28"/>
        </w:rPr>
        <w:t xml:space="preserve">Для проекта по энергоснабжению </w:t>
      </w:r>
      <w:proofErr w:type="spellStart"/>
      <w:r>
        <w:rPr>
          <w:sz w:val="28"/>
          <w:szCs w:val="28"/>
        </w:rPr>
        <w:t>Баимского</w:t>
      </w:r>
      <w:proofErr w:type="spellEnd"/>
      <w:r>
        <w:rPr>
          <w:sz w:val="28"/>
          <w:szCs w:val="28"/>
        </w:rPr>
        <w:t xml:space="preserve"> горно-обогатительного комбината на Чукотке предприятие должн</w:t>
      </w:r>
      <w:r>
        <w:rPr>
          <w:sz w:val="28"/>
          <w:szCs w:val="28"/>
        </w:rPr>
        <w:t>о разработать четыре МПЭБ. Первые два МПЭБ должны быть изготовлены к концу 2026 года;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насосное и тепломеханическое оборудование для атомной электростанции (АЭС). АО «ОКБМ Африкантов» выполняет большой объем работ по реализации программ </w:t>
      </w:r>
      <w:proofErr w:type="gramStart"/>
      <w:r>
        <w:rPr>
          <w:sz w:val="28"/>
          <w:szCs w:val="28"/>
        </w:rPr>
        <w:t>создания</w:t>
      </w:r>
      <w:proofErr w:type="gramEnd"/>
      <w:r>
        <w:rPr>
          <w:sz w:val="28"/>
          <w:szCs w:val="28"/>
        </w:rPr>
        <w:t xml:space="preserve"> унифицирова</w:t>
      </w:r>
      <w:r>
        <w:rPr>
          <w:sz w:val="28"/>
          <w:szCs w:val="28"/>
        </w:rPr>
        <w:t>нного насосного и вентиляционного оборудования для АЭС, по модернизации тепломеханического оборудования действующих блоков АЭС России и созданию импортозамещающего оборудования для строящихся АЭС;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быстрые реакторы с натриевым теплоносителем.</w:t>
      </w:r>
      <w:r>
        <w:t xml:space="preserve"> </w:t>
      </w:r>
      <w:r>
        <w:rPr>
          <w:sz w:val="28"/>
          <w:szCs w:val="28"/>
        </w:rPr>
        <w:t>АО «ОКБМ Африк</w:t>
      </w:r>
      <w:r>
        <w:rPr>
          <w:sz w:val="28"/>
          <w:szCs w:val="28"/>
        </w:rPr>
        <w:t xml:space="preserve">антов» является главным конструктором реакторной установки БН-1200. Он обеспечивает координацию необходимых научно-исследовательских и опытно-конструкторских работ, а также эффективную разработку оптимальных решений для реакторной установки и энергоблока. </w:t>
      </w:r>
      <w:r>
        <w:rPr>
          <w:sz w:val="28"/>
          <w:szCs w:val="28"/>
        </w:rPr>
        <w:t>В настоящее время продолжаются работы по БН-1200 с целью улучшения его конкурентоспособности по отношению к современным АЭС и традиционным и возобновляемым источникам электроэнергии.</w:t>
      </w:r>
    </w:p>
    <w:p w:rsidR="00832A05" w:rsidRDefault="00311484">
      <w:p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обращения с ядерным топливом (перегрузочные комплексы). В АО</w:t>
      </w:r>
      <w:r>
        <w:rPr>
          <w:sz w:val="28"/>
          <w:szCs w:val="28"/>
        </w:rPr>
        <w:t xml:space="preserve"> «ОКБМ Африкантов» разрабатываются, изготавливаются и поставляются различные виды оборудования для перегрузки ядерного топлива.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комплексного проекта по формированию производственной системы «</w:t>
      </w:r>
      <w:proofErr w:type="spellStart"/>
      <w:r>
        <w:rPr>
          <w:sz w:val="28"/>
          <w:szCs w:val="28"/>
        </w:rPr>
        <w:t>Росатом</w:t>
      </w:r>
      <w:proofErr w:type="spellEnd"/>
      <w:r>
        <w:rPr>
          <w:sz w:val="28"/>
          <w:szCs w:val="28"/>
        </w:rPr>
        <w:t>» (ПСР) в АО «ОКБМ Африкантов» применя</w:t>
      </w:r>
      <w:r>
        <w:rPr>
          <w:sz w:val="28"/>
          <w:szCs w:val="28"/>
        </w:rPr>
        <w:t>ется системный подход в развитии ПСР (бережливого производства) по направлениям «Декомпозиция целей», «Продуктовые потоки», «Процессы обеспечения производства», «Активизация персонала», «Цифровые корпоративные ПСР-функции», «Развитие поставщиков», «ПСР-инж</w:t>
      </w:r>
      <w:r>
        <w:rPr>
          <w:sz w:val="28"/>
          <w:szCs w:val="28"/>
        </w:rPr>
        <w:t>иниринг».</w:t>
      </w:r>
    </w:p>
    <w:p w:rsidR="00832A05" w:rsidRDefault="00311484">
      <w:pPr>
        <w:tabs>
          <w:tab w:val="left" w:pos="510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работы развивающей партнерской проверки качества развития Производственной системы «</w:t>
      </w:r>
      <w:proofErr w:type="spellStart"/>
      <w:r>
        <w:rPr>
          <w:bCs/>
          <w:sz w:val="28"/>
          <w:szCs w:val="28"/>
        </w:rPr>
        <w:t>Росатом</w:t>
      </w:r>
      <w:proofErr w:type="spellEnd"/>
      <w:r>
        <w:rPr>
          <w:bCs/>
          <w:sz w:val="28"/>
          <w:szCs w:val="28"/>
        </w:rPr>
        <w:t>» (РППК), проведенной в феврале 2024 года,</w:t>
      </w:r>
      <w:r>
        <w:rPr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АО «ОКБМ Африкантов» подтвердило эффективность мероприятий в области развития ПСР. Подтвержден статус </w:t>
      </w:r>
      <w:r>
        <w:rPr>
          <w:bCs/>
          <w:iCs/>
          <w:sz w:val="28"/>
          <w:szCs w:val="28"/>
        </w:rPr>
        <w:t>«Лидер ПСР»</w:t>
      </w:r>
      <w:r>
        <w:t xml:space="preserve"> </w:t>
      </w:r>
      <w:r>
        <w:rPr>
          <w:bCs/>
          <w:iCs/>
          <w:sz w:val="28"/>
          <w:szCs w:val="28"/>
        </w:rPr>
        <w:t>и получен статус «Цифровое ПСР-предприятие» - серебряный уровень. АО «ОКБМ Африкантов» заняло третье место в рейтинге предприятий со статусом «Цифровое ПСР-предприятие».</w:t>
      </w:r>
    </w:p>
    <w:p w:rsidR="00832A05" w:rsidRDefault="00311484">
      <w:pPr>
        <w:pStyle w:val="affff7"/>
        <w:spacing w:before="0" w:beforeAutospacing="0" w:after="0" w:afterAutospacing="0"/>
        <w:ind w:firstLine="633"/>
        <w:jc w:val="both"/>
        <w:rPr>
          <w:sz w:val="28"/>
          <w:szCs w:val="28"/>
        </w:rPr>
      </w:pPr>
      <w:r>
        <w:rPr>
          <w:sz w:val="28"/>
          <w:szCs w:val="28"/>
        </w:rPr>
        <w:t>В среднесрочной перспективе ожидается рост объема отгруженной продукции АО</w:t>
      </w:r>
      <w:r>
        <w:rPr>
          <w:sz w:val="28"/>
          <w:szCs w:val="28"/>
        </w:rPr>
        <w:t xml:space="preserve"> «ОКБМ Африкантов» до 15%. </w:t>
      </w:r>
    </w:p>
    <w:p w:rsidR="00832A05" w:rsidRDefault="00311484">
      <w:pPr>
        <w:pStyle w:val="affff7"/>
        <w:spacing w:before="0" w:beforeAutospacing="0" w:after="0" w:afterAutospacing="0"/>
        <w:ind w:firstLine="633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планах предприятия реализация инвестиционных проектов в сфере перевооружения и развития производства (инфраструктуры); развития вычислительной базы; инвестиций в интеллектуальный капитал; научно-исследовательских работ по обос</w:t>
      </w:r>
      <w:r>
        <w:rPr>
          <w:sz w:val="28"/>
          <w:szCs w:val="28"/>
        </w:rPr>
        <w:t xml:space="preserve">нованию технологий создания </w:t>
      </w:r>
      <w:proofErr w:type="spellStart"/>
      <w:r>
        <w:rPr>
          <w:sz w:val="28"/>
          <w:szCs w:val="28"/>
        </w:rPr>
        <w:t>детандерного</w:t>
      </w:r>
      <w:proofErr w:type="spellEnd"/>
      <w:r>
        <w:rPr>
          <w:sz w:val="28"/>
          <w:szCs w:val="28"/>
        </w:rPr>
        <w:t xml:space="preserve"> и насосного оборудования отечественных технологических комплексов сжиженного природного газа; комплексной отработки технологии изготовления элементов оборудования атомной энергетики при помощи аддитивных технологий </w:t>
      </w:r>
      <w:r>
        <w:rPr>
          <w:sz w:val="28"/>
          <w:szCs w:val="28"/>
        </w:rPr>
        <w:t>и пр.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Ожидается, что в 2025-2027 гг. объем инвестиций в основной капитал составит порядка 12,9 млрд. рублей.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Увеличение объема отгруженных товаров в 2024 году на 34% ожидается и на </w:t>
      </w:r>
      <w:r>
        <w:rPr>
          <w:sz w:val="28"/>
          <w:szCs w:val="28"/>
        </w:rPr>
        <w:t>ПАО «Завод им. Г. И. Петровского»</w:t>
      </w:r>
      <w:r>
        <w:rPr>
          <w:sz w:val="28"/>
          <w:szCs w:val="28"/>
        </w:rPr>
        <w:t xml:space="preserve"> - крупном приборостроительном предприятии</w:t>
      </w:r>
      <w:r>
        <w:rPr>
          <w:sz w:val="28"/>
          <w:szCs w:val="28"/>
        </w:rPr>
        <w:t xml:space="preserve">, являющемся производителем бортовых и наземных регистраторов речевой информации («черных ящиков») для МО РФ, спецтехники для военно-морского флота, </w:t>
      </w:r>
      <w:proofErr w:type="spellStart"/>
      <w:r>
        <w:rPr>
          <w:sz w:val="28"/>
          <w:szCs w:val="28"/>
        </w:rPr>
        <w:t>авионики</w:t>
      </w:r>
      <w:proofErr w:type="spellEnd"/>
      <w:r>
        <w:rPr>
          <w:sz w:val="28"/>
          <w:szCs w:val="28"/>
        </w:rPr>
        <w:t xml:space="preserve"> и другой продукции промышленного характера, в том числе </w:t>
      </w:r>
      <w:proofErr w:type="spellStart"/>
      <w:r>
        <w:rPr>
          <w:sz w:val="28"/>
          <w:szCs w:val="28"/>
        </w:rPr>
        <w:t>электрорадиотехнических</w:t>
      </w:r>
      <w:proofErr w:type="spellEnd"/>
      <w:r>
        <w:rPr>
          <w:sz w:val="28"/>
          <w:szCs w:val="28"/>
        </w:rPr>
        <w:t xml:space="preserve"> и автомобильных ус</w:t>
      </w:r>
      <w:r>
        <w:rPr>
          <w:sz w:val="28"/>
          <w:szCs w:val="28"/>
        </w:rPr>
        <w:t>тройств и аксессуаров.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2025-2027 гг. составит порядка 105 млн. рублей.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производстве компьютеров, электронных и оптических изделий в 2024 году объем отгрузки товаров собственного производства составит 54,8 </w:t>
      </w:r>
      <w:r>
        <w:rPr>
          <w:rFonts w:ascii="Times New Roman" w:hAnsi="Times New Roman"/>
          <w:sz w:val="28"/>
          <w:szCs w:val="28"/>
        </w:rPr>
        <w:t>млрд. рублей, в сопоставимых ценах – 97,6% к уровню прошлого года. К 2024 году объем отгрузки составит 60 млрд. рублей (рост на 3% в сопоставимых ценах).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влияние на развитие сектора оказывают:  ПАО «</w:t>
      </w:r>
      <w:proofErr w:type="spellStart"/>
      <w:r>
        <w:rPr>
          <w:rFonts w:ascii="Times New Roman" w:hAnsi="Times New Roman"/>
          <w:sz w:val="28"/>
          <w:szCs w:val="28"/>
        </w:rPr>
        <w:t>Нител</w:t>
      </w:r>
      <w:proofErr w:type="spellEnd"/>
      <w:r>
        <w:rPr>
          <w:rFonts w:ascii="Times New Roman" w:hAnsi="Times New Roman"/>
          <w:sz w:val="28"/>
          <w:szCs w:val="28"/>
        </w:rPr>
        <w:t>»  (производство радиолокационной, радионав</w:t>
      </w:r>
      <w:r>
        <w:rPr>
          <w:rFonts w:ascii="Times New Roman" w:hAnsi="Times New Roman"/>
          <w:sz w:val="28"/>
          <w:szCs w:val="28"/>
        </w:rPr>
        <w:t>игационной аппаратуры и радиоаппаратуры дистанционного управления); АО «ГЗАС им. А.С. Попова» (производство радио - и телевизионной передающей аппаратуры); АО «Нижегородское НПО им. М.В. Фрунзе» (производство прочих приборов, датчиков, аппаратуры и инструм</w:t>
      </w:r>
      <w:r>
        <w:rPr>
          <w:rFonts w:ascii="Times New Roman" w:hAnsi="Times New Roman"/>
          <w:sz w:val="28"/>
          <w:szCs w:val="28"/>
        </w:rPr>
        <w:t>ентов для измерения, контроля и испытаний); АО «Время-Ч» (производство инструментов и приборов для измерения, тестирования и навигации); АО «</w:t>
      </w:r>
      <w:proofErr w:type="spellStart"/>
      <w:r>
        <w:rPr>
          <w:rFonts w:ascii="Times New Roman" w:hAnsi="Times New Roman"/>
          <w:sz w:val="28"/>
          <w:szCs w:val="28"/>
        </w:rPr>
        <w:t>НоваКард</w:t>
      </w:r>
      <w:proofErr w:type="spellEnd"/>
      <w:r>
        <w:rPr>
          <w:rFonts w:ascii="Times New Roman" w:hAnsi="Times New Roman"/>
          <w:sz w:val="28"/>
          <w:szCs w:val="28"/>
        </w:rPr>
        <w:t>» (производство незаписанных магнитных и оптических технических носителей информации); АО «НПП «Полет» (про</w:t>
      </w:r>
      <w:r>
        <w:rPr>
          <w:rFonts w:ascii="Times New Roman" w:hAnsi="Times New Roman"/>
          <w:sz w:val="28"/>
          <w:szCs w:val="28"/>
        </w:rPr>
        <w:t>изводство средств связи, выполняющих функцию систем коммутации); АО «НПО «</w:t>
      </w:r>
      <w:proofErr w:type="spellStart"/>
      <w:r>
        <w:rPr>
          <w:rFonts w:ascii="Times New Roman" w:hAnsi="Times New Roman"/>
          <w:sz w:val="28"/>
          <w:szCs w:val="28"/>
        </w:rPr>
        <w:t>Эркон</w:t>
      </w:r>
      <w:proofErr w:type="spellEnd"/>
      <w:r>
        <w:rPr>
          <w:rFonts w:ascii="Times New Roman" w:hAnsi="Times New Roman"/>
          <w:sz w:val="28"/>
          <w:szCs w:val="28"/>
        </w:rPr>
        <w:t>» (производство частей электронных ламп, трубок и прочих электронных компонентов,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не включенных в другие группировки) и другие.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«Нижегородское НПО им. М.В. Фрунзе» являе</w:t>
      </w:r>
      <w:r>
        <w:rPr>
          <w:sz w:val="28"/>
          <w:szCs w:val="28"/>
        </w:rPr>
        <w:t>тся р</w:t>
      </w:r>
      <w:r>
        <w:rPr>
          <w:sz w:val="28"/>
          <w:szCs w:val="28"/>
        </w:rPr>
        <w:t xml:space="preserve">азработчиком и производителем современных высокотехнологичных радиоэлектронных приборов военного и гражданского назначения. В 2024 году предприятие планирует увеличить объем отгруженных товаров на 40% относительно 2023 года, в том числе на 24,3% увеличить </w:t>
      </w:r>
      <w:r>
        <w:rPr>
          <w:sz w:val="28"/>
          <w:szCs w:val="28"/>
        </w:rPr>
        <w:t>производство радиоизмерительной аппаратуры, на 189,6% - производство приборов учета электрической энергии, производство прочей продукции (микросборки, СВЧ-узлы и пр.) - на 7%.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значимыми направлениями развития на предприятии являются: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ап</w:t>
      </w:r>
      <w:r>
        <w:rPr>
          <w:sz w:val="28"/>
          <w:szCs w:val="28"/>
        </w:rPr>
        <w:t xml:space="preserve">паратуры на эффекте высокотемпературной сверхпроводимости (эффект </w:t>
      </w:r>
      <w:proofErr w:type="spellStart"/>
      <w:r>
        <w:rPr>
          <w:sz w:val="28"/>
          <w:szCs w:val="28"/>
        </w:rPr>
        <w:t>Джозефсона</w:t>
      </w:r>
      <w:proofErr w:type="spellEnd"/>
      <w:r>
        <w:rPr>
          <w:sz w:val="28"/>
          <w:szCs w:val="28"/>
        </w:rPr>
        <w:t>);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квантовых (водородных) стандартов частоты;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модернизация радиолокационных станций;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постановка на производство нового поколения интеллектуальных приборов у</w:t>
      </w:r>
      <w:r>
        <w:rPr>
          <w:sz w:val="28"/>
          <w:szCs w:val="28"/>
        </w:rPr>
        <w:t>чета электроэнергии.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2025-2027 гг. составит порядка 79 млн. рублей.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</w:t>
      </w:r>
      <w:r>
        <w:rPr>
          <w:bCs/>
          <w:sz w:val="28"/>
          <w:szCs w:val="28"/>
        </w:rPr>
        <w:t>НПП</w:t>
      </w:r>
      <w:r>
        <w:rPr>
          <w:sz w:val="28"/>
          <w:szCs w:val="28"/>
        </w:rPr>
        <w:t> «</w:t>
      </w:r>
      <w:r>
        <w:rPr>
          <w:bCs/>
          <w:sz w:val="28"/>
          <w:szCs w:val="28"/>
        </w:rPr>
        <w:t>Полет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является одним из ведущих в отрасли по технике авиационной радиосвязи военного и гражданского назначения. Разрабатывает и производит: системы управления и связи на авиационных носителях; бортовое авиационное и наземное оборудование (приемники, передатчики</w:t>
      </w:r>
      <w:r>
        <w:rPr>
          <w:sz w:val="28"/>
          <w:szCs w:val="28"/>
        </w:rPr>
        <w:t>, радиостанции, аппаратура внутренней связи и коммутации, устройства защиты, антенно-</w:t>
      </w:r>
      <w:r>
        <w:rPr>
          <w:sz w:val="28"/>
          <w:szCs w:val="28"/>
        </w:rPr>
        <w:lastRenderedPageBreak/>
        <w:t>фидерные устройства и пр.); технику экологического мониторинга; медицинскую технику.</w:t>
      </w:r>
      <w:r>
        <w:t xml:space="preserve"> </w:t>
      </w:r>
      <w:r>
        <w:rPr>
          <w:sz w:val="28"/>
          <w:szCs w:val="28"/>
        </w:rPr>
        <w:t>В текущем году предприятие планирует увеличить объем отгруженной продукции на 46,4%.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</w:rPr>
        <w:t>а период 2024-2027 гг. предприятием запланирован большой объем серийного изготовления продукции в целях обеспечения поставок: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оснащения объектов воздушно-космических сил (ВКС) техсредствами автоматизированной системы воздушной связи (АСВС);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комплексных</w:t>
      </w:r>
      <w:r>
        <w:rPr>
          <w:sz w:val="28"/>
          <w:szCs w:val="28"/>
        </w:rPr>
        <w:t xml:space="preserve"> систем связи (КСС) и аппаратуры связи нового поколения для создаваемых и модернизируемых самолетов истребительной, дальней, военно-транспортной и специальной авиации, вертолетов, беспилотных летательных аппаратов и робототехнических комплексов, наземных о</w:t>
      </w:r>
      <w:r>
        <w:rPr>
          <w:sz w:val="28"/>
          <w:szCs w:val="28"/>
        </w:rPr>
        <w:t>бъектов;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комплектов аппаратуры для летательных аппаратов гражданской авиации;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наземных комплексов воздушной связи на экспорт;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изделий медицинской техники.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2025-2027 гг. предприятием планируется реализация инвестиционных проектов, направленных на р</w:t>
      </w:r>
      <w:r>
        <w:rPr>
          <w:sz w:val="28"/>
          <w:szCs w:val="28"/>
        </w:rPr>
        <w:t>еконструкцию и техническое перевооружение производственной системы и производственных мощностей.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2025-2027 гг. составит порядка Продолжена реализация проекта по внедрению единой системы контроля управления д</w:t>
      </w:r>
      <w:r>
        <w:rPr>
          <w:sz w:val="28"/>
          <w:szCs w:val="28"/>
        </w:rPr>
        <w:t xml:space="preserve">оступом и оплаты питания в общеобразовательных организациях города Нижнего Новгорода (далее – </w:t>
      </w:r>
      <w:proofErr w:type="spellStart"/>
      <w:r>
        <w:rPr>
          <w:sz w:val="28"/>
          <w:szCs w:val="28"/>
        </w:rPr>
        <w:t>ЕСКУДиОП</w:t>
      </w:r>
      <w:proofErr w:type="spellEnd"/>
      <w:r>
        <w:rPr>
          <w:sz w:val="28"/>
          <w:szCs w:val="28"/>
        </w:rPr>
        <w:t xml:space="preserve">). Всего по итогам III квартала 2024 года в </w:t>
      </w:r>
      <w:proofErr w:type="spellStart"/>
      <w:r>
        <w:rPr>
          <w:sz w:val="28"/>
          <w:szCs w:val="28"/>
        </w:rPr>
        <w:t>ЕСКУДиОП</w:t>
      </w:r>
      <w:proofErr w:type="spellEnd"/>
      <w:r>
        <w:rPr>
          <w:sz w:val="28"/>
          <w:szCs w:val="28"/>
        </w:rPr>
        <w:t xml:space="preserve"> занесены 152 образовательные организации города Нижнего Новгорода (в т.ч. 144 образовательные организ</w:t>
      </w:r>
      <w:r>
        <w:rPr>
          <w:sz w:val="28"/>
          <w:szCs w:val="28"/>
        </w:rPr>
        <w:t>ации, которые обслуживаются поставщиком питания МБУ «Дирекция по организации питания», и используют данную систему при организации питания обучающихся). Система контроля и управления доступом внедрена в 77 образовательных организаций города Нижнего Новгоро</w:t>
      </w:r>
      <w:r>
        <w:rPr>
          <w:sz w:val="28"/>
          <w:szCs w:val="28"/>
        </w:rPr>
        <w:t>да.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Нител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- одно из старейших радиотехнических предприятий России. Данное предприятие специализируется на выпуске радиолокационных систем (РЛС) и комплексов, модернизации, ремонте</w:t>
      </w:r>
      <w:r>
        <w:t xml:space="preserve"> </w:t>
      </w:r>
      <w:r>
        <w:rPr>
          <w:sz w:val="28"/>
          <w:szCs w:val="28"/>
        </w:rPr>
        <w:t>и сервисном обслуживании ранее выпущенных РЛС.</w:t>
      </w:r>
    </w:p>
    <w:p w:rsidR="00832A05" w:rsidRDefault="00311484">
      <w:pPr>
        <w:pStyle w:val="1f0"/>
        <w:numPr>
          <w:ilvl w:val="0"/>
          <w:numId w:val="15"/>
        </w:num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Ежегодно с целью повыше</w:t>
      </w:r>
      <w:r>
        <w:rPr>
          <w:rFonts w:ascii="Times New Roman" w:hAnsi="Times New Roman"/>
          <w:sz w:val="28"/>
          <w:szCs w:val="28"/>
          <w:lang w:eastAsia="ru-RU"/>
        </w:rPr>
        <w:t>ния эффективности производства</w:t>
      </w:r>
      <w:r>
        <w:rPr>
          <w:rFonts w:ascii="Times New Roman" w:hAnsi="Times New Roman"/>
          <w:sz w:val="28"/>
          <w:szCs w:val="28"/>
        </w:rPr>
        <w:t xml:space="preserve">, качества выпускаемой продукции, снижения </w:t>
      </w:r>
      <w:proofErr w:type="spellStart"/>
      <w:r>
        <w:rPr>
          <w:rFonts w:ascii="Times New Roman" w:hAnsi="Times New Roman"/>
          <w:sz w:val="28"/>
          <w:szCs w:val="28"/>
        </w:rPr>
        <w:t>энергозатрат</w:t>
      </w:r>
      <w:proofErr w:type="spellEnd"/>
      <w:r>
        <w:rPr>
          <w:rFonts w:ascii="Times New Roman" w:hAnsi="Times New Roman"/>
          <w:sz w:val="28"/>
          <w:szCs w:val="28"/>
        </w:rPr>
        <w:t xml:space="preserve"> и роста прибыли предприятие инвестирует финансовые средства в свое развитие. </w:t>
      </w:r>
      <w:r>
        <w:rPr>
          <w:rFonts w:ascii="Times New Roman" w:hAnsi="Times New Roman"/>
          <w:sz w:val="28"/>
          <w:szCs w:val="28"/>
          <w:lang w:eastAsia="ru-RU"/>
        </w:rPr>
        <w:t>До 2027 года предприятием запланировано выполнение 14 государственных контрактов.</w:t>
      </w:r>
    </w:p>
    <w:p w:rsidR="00832A05" w:rsidRDefault="00311484">
      <w:pPr>
        <w:pStyle w:val="1f0"/>
        <w:numPr>
          <w:ilvl w:val="0"/>
          <w:numId w:val="15"/>
        </w:num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Поставка те</w:t>
      </w:r>
      <w:r>
        <w:rPr>
          <w:rFonts w:ascii="Times New Roman" w:hAnsi="Times New Roman"/>
          <w:sz w:val="28"/>
          <w:szCs w:val="28"/>
          <w:lang w:eastAsia="ru-RU"/>
        </w:rPr>
        <w:t>хники на экспорт остается одной из главных направлений деятельности предприятия. В 2025 году предприятие прогнозирует рост объема отгруженной продукции до 50,6% (19,3% из общего объема продукции планируется направить на экспорт).</w:t>
      </w:r>
    </w:p>
    <w:p w:rsidR="00832A05" w:rsidRDefault="00311484">
      <w:pPr>
        <w:pStyle w:val="1f0"/>
        <w:numPr>
          <w:ilvl w:val="0"/>
          <w:numId w:val="15"/>
        </w:num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Ожидаемый объем инвестиций</w:t>
      </w:r>
      <w:r>
        <w:rPr>
          <w:rFonts w:ascii="Times New Roman" w:hAnsi="Times New Roman"/>
          <w:sz w:val="28"/>
          <w:szCs w:val="28"/>
          <w:lang w:eastAsia="ru-RU"/>
        </w:rPr>
        <w:t xml:space="preserve"> в основной капитал за 2025-2027 гг. составит порядка 331 млн. рублей.</w:t>
      </w:r>
    </w:p>
    <w:p w:rsidR="00832A05" w:rsidRDefault="003114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 пищевых продуктов в 2024 году объем отгруженной продукции оценивается в 61,2 млрд. рублей, р</w:t>
      </w:r>
      <w:r>
        <w:rPr>
          <w:sz w:val="28"/>
          <w:szCs w:val="28"/>
        </w:rPr>
        <w:t>ост в сопоставимых ценах – 104,1%, к уровню прошлого года. К 2025 году объем о</w:t>
      </w:r>
      <w:r>
        <w:rPr>
          <w:sz w:val="28"/>
          <w:szCs w:val="28"/>
        </w:rPr>
        <w:t>тгрузки составит 64,1 млрд. рублей (в сопоставимых ценах -101,7%).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Ведущими предприятиями данного вида деятельности являются: АО </w:t>
      </w:r>
      <w:r>
        <w:rPr>
          <w:rFonts w:ascii="Times New Roman" w:hAnsi="Times New Roman"/>
          <w:bCs/>
          <w:sz w:val="28"/>
          <w:szCs w:val="28"/>
        </w:rPr>
        <w:t>«Нижегородский молочный завод №1» (производство питьевого молока и питьевых сливок);</w:t>
      </w:r>
      <w:r>
        <w:rPr>
          <w:rFonts w:ascii="Times New Roman" w:hAnsi="Times New Roman"/>
          <w:sz w:val="28"/>
          <w:szCs w:val="28"/>
        </w:rPr>
        <w:t xml:space="preserve"> АО «Нижегородский масло-жировой комбинат» </w:t>
      </w:r>
      <w:r>
        <w:rPr>
          <w:rFonts w:ascii="Times New Roman" w:hAnsi="Times New Roman"/>
          <w:sz w:val="28"/>
          <w:szCs w:val="28"/>
        </w:rPr>
        <w:t xml:space="preserve">(производство маргариновой продукции); </w:t>
      </w:r>
      <w:r>
        <w:rPr>
          <w:rFonts w:ascii="Times New Roman" w:hAnsi="Times New Roman"/>
          <w:bCs/>
          <w:sz w:val="28"/>
          <w:szCs w:val="28"/>
        </w:rPr>
        <w:t>АО «Хлеб»; АО «Каравай»; ООО «</w:t>
      </w:r>
      <w:proofErr w:type="spellStart"/>
      <w:r>
        <w:rPr>
          <w:rFonts w:ascii="Times New Roman" w:hAnsi="Times New Roman"/>
          <w:bCs/>
          <w:sz w:val="28"/>
          <w:szCs w:val="28"/>
        </w:rPr>
        <w:t>Юнис</w:t>
      </w:r>
      <w:proofErr w:type="spellEnd"/>
      <w:r>
        <w:rPr>
          <w:rFonts w:ascii="Times New Roman" w:hAnsi="Times New Roman"/>
          <w:bCs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 xml:space="preserve">производство хлеба и мучных кондитерских изделий, тортов и пирожных недлительного хранения); ЗАО «Сормовская кондитерская фабрика» (производство шоколада и сахаристых кондитерских </w:t>
      </w:r>
      <w:r>
        <w:rPr>
          <w:rFonts w:ascii="Times New Roman" w:hAnsi="Times New Roman"/>
          <w:sz w:val="28"/>
          <w:szCs w:val="28"/>
        </w:rPr>
        <w:t>изделий); ООО «Эхо» (переработка и консервирование картофеля) и прочие.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АО «Хлеб», </w:t>
      </w:r>
      <w:r>
        <w:rPr>
          <w:rFonts w:ascii="Times New Roman" w:hAnsi="Times New Roman"/>
          <w:bCs/>
          <w:sz w:val="28"/>
          <w:szCs w:val="28"/>
        </w:rPr>
        <w:t>занимающийся</w:t>
      </w:r>
      <w:r>
        <w:rPr>
          <w:rFonts w:ascii="Times New Roman" w:hAnsi="Times New Roman"/>
          <w:sz w:val="28"/>
          <w:szCs w:val="28"/>
        </w:rPr>
        <w:t xml:space="preserve"> производством хлебобулочных изделий, планирует увеличивать объем отгруженных товаров в прогнозном периоде на 10 - 12% ежегодно.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 в планах АО «Ниже</w:t>
      </w:r>
      <w:r>
        <w:rPr>
          <w:sz w:val="28"/>
          <w:szCs w:val="28"/>
        </w:rPr>
        <w:t xml:space="preserve">городский </w:t>
      </w:r>
      <w:proofErr w:type="gramStart"/>
      <w:r>
        <w:rPr>
          <w:sz w:val="28"/>
          <w:szCs w:val="28"/>
        </w:rPr>
        <w:t>масло-жировой</w:t>
      </w:r>
      <w:proofErr w:type="gramEnd"/>
      <w:r>
        <w:rPr>
          <w:sz w:val="28"/>
          <w:szCs w:val="28"/>
        </w:rPr>
        <w:t xml:space="preserve"> комбинат» завершить реализацию следующих инвестиционных проектов: приобретение и монтаж </w:t>
      </w:r>
      <w:r>
        <w:rPr>
          <w:sz w:val="28"/>
          <w:szCs w:val="28"/>
          <w:lang w:val="en-US"/>
        </w:rPr>
        <w:t>CIP</w:t>
      </w:r>
      <w:r>
        <w:rPr>
          <w:sz w:val="28"/>
          <w:szCs w:val="28"/>
        </w:rPr>
        <w:t xml:space="preserve"> станции на участок соусов; технологической линии по производству соусов </w:t>
      </w:r>
      <w:r>
        <w:rPr>
          <w:sz w:val="28"/>
          <w:szCs w:val="28"/>
          <w:lang w:val="en-US"/>
        </w:rPr>
        <w:t>Bulk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en-US"/>
        </w:rPr>
        <w:t>FS</w:t>
      </w:r>
      <w:r>
        <w:rPr>
          <w:sz w:val="28"/>
          <w:szCs w:val="28"/>
        </w:rPr>
        <w:t>; увеличение мощностей по производству соусов в производс</w:t>
      </w:r>
      <w:r>
        <w:rPr>
          <w:sz w:val="28"/>
          <w:szCs w:val="28"/>
        </w:rPr>
        <w:t xml:space="preserve">твенном здании </w:t>
      </w:r>
      <w:r>
        <w:rPr>
          <w:sz w:val="28"/>
          <w:szCs w:val="28"/>
          <w:lang w:val="en-US"/>
        </w:rPr>
        <w:t>PPAV</w:t>
      </w:r>
      <w:r>
        <w:rPr>
          <w:sz w:val="28"/>
          <w:szCs w:val="28"/>
        </w:rPr>
        <w:t>. В 2025-2027 гг.  предприятие планирует увеличение объема отгруженных товаров на 4-4,5% ежегодно. Объем инвестиций в основной капитал на прогнозный период планируется в размере 1,1 млрд. рублей.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ЗАО «Сормовская кондитерская фабрика» явл</w:t>
      </w:r>
      <w:r>
        <w:rPr>
          <w:sz w:val="28"/>
          <w:szCs w:val="28"/>
        </w:rPr>
        <w:t>яется ведущим кондитерским предприятием Нижнего Новгорода. В 2024 году ожидается увеличение объема отгруженных товаров на 26,9%, в 2025-2027 гг. – на 5% ежегодно.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ООО «Эхо» является производителем солений, квашений, салатов, маринадов, полуфабрикатов из св</w:t>
      </w:r>
      <w:r>
        <w:rPr>
          <w:sz w:val="28"/>
          <w:szCs w:val="28"/>
        </w:rPr>
        <w:t>ежих овощей в вакууме и готовой еды под торговой маркой «Белоручка». В среднесрочной перспективе предприятие предполагает увеличение оборота реализации готовой продукции в среднем на 5,5-6,8%.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производстве химических веществ и химических продуктов объем </w:t>
      </w:r>
      <w:r>
        <w:rPr>
          <w:sz w:val="28"/>
          <w:szCs w:val="28"/>
        </w:rPr>
        <w:t>отгруженной продукции в 2024 году оценивается в 31,8 млрд. рублей, в действующих ценах – 122,4% (в сопоставимых ценах составит 113,9%). К 2025 году объем отгрузки составит 34,5 млрд. рублей (рост на 3% в сопоставимых ценах).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объемы производства да</w:t>
      </w:r>
      <w:r>
        <w:rPr>
          <w:sz w:val="28"/>
          <w:szCs w:val="28"/>
        </w:rPr>
        <w:t>нного сектора обеспечивают: АО Управляющая компания БХХ «Оргхим»; ЗАО «Нижегородские сорбенты»; ООО «Ваше хозяйство» (производство прочих химических продуктов, не включенных в другие группировки) и другие.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Управляющая компания БХХ «Оргхим»</w:t>
      </w:r>
      <w:r>
        <w:rPr>
          <w:sz w:val="28"/>
          <w:szCs w:val="28"/>
        </w:rPr>
        <w:t xml:space="preserve"> в 2024 году планирует увеличить на 23% производство пластификаторов, а также на 33,2% - производство скипидарной продукции. В 2024-2025 гг. предприятие планирует увел</w:t>
      </w:r>
      <w:r>
        <w:rPr>
          <w:sz w:val="28"/>
          <w:szCs w:val="28"/>
        </w:rPr>
        <w:t>ичить объем своей продукции до 21,6-50%, в 2026-2027 гг. – на 2,6% ежегодно.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</w:t>
      </w:r>
      <w:r>
        <w:rPr>
          <w:sz w:val="28"/>
          <w:szCs w:val="28"/>
        </w:rPr>
        <w:t xml:space="preserve">ду предприятие продолжает инвестировать в проекты по улучшению используемых технологий и снижению производства </w:t>
      </w:r>
      <w:proofErr w:type="spellStart"/>
      <w:r>
        <w:rPr>
          <w:sz w:val="28"/>
          <w:szCs w:val="28"/>
        </w:rPr>
        <w:t>низкомаржинальных</w:t>
      </w:r>
      <w:proofErr w:type="spellEnd"/>
      <w:r>
        <w:rPr>
          <w:sz w:val="28"/>
          <w:szCs w:val="28"/>
        </w:rPr>
        <w:t xml:space="preserve"> побочных продуктов. Начато освоение производства продуктов – аналогов ушедших с российского рынка в результате санкций недружес</w:t>
      </w:r>
      <w:r>
        <w:rPr>
          <w:sz w:val="28"/>
          <w:szCs w:val="28"/>
        </w:rPr>
        <w:t xml:space="preserve">твенных государств. В их числе: цинковые соли жирных кислот, применяемые в качестве технологических добавок производителями шин и каучуков; функциональные аналоги </w:t>
      </w:r>
      <w:proofErr w:type="spellStart"/>
      <w:r>
        <w:rPr>
          <w:sz w:val="28"/>
          <w:szCs w:val="28"/>
        </w:rPr>
        <w:t>метилизобутил</w:t>
      </w:r>
      <w:proofErr w:type="spellEnd"/>
      <w:r>
        <w:rPr>
          <w:sz w:val="28"/>
          <w:szCs w:val="28"/>
        </w:rPr>
        <w:t xml:space="preserve">-карбинола/кетона (МИБК) и </w:t>
      </w:r>
      <w:proofErr w:type="spellStart"/>
      <w:r>
        <w:rPr>
          <w:sz w:val="28"/>
          <w:szCs w:val="28"/>
        </w:rPr>
        <w:lastRenderedPageBreak/>
        <w:t>оксаля</w:t>
      </w:r>
      <w:proofErr w:type="spellEnd"/>
      <w:r>
        <w:rPr>
          <w:sz w:val="28"/>
          <w:szCs w:val="28"/>
        </w:rPr>
        <w:t xml:space="preserve">, применяемые в качестве </w:t>
      </w:r>
      <w:proofErr w:type="spellStart"/>
      <w:r>
        <w:rPr>
          <w:sz w:val="28"/>
          <w:szCs w:val="28"/>
        </w:rPr>
        <w:t>вспенивателей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ГОКах</w:t>
      </w:r>
      <w:proofErr w:type="spellEnd"/>
      <w:r>
        <w:rPr>
          <w:sz w:val="28"/>
          <w:szCs w:val="28"/>
        </w:rPr>
        <w:t xml:space="preserve">; терпеновые смолы, используемые при производстве шин и </w:t>
      </w:r>
      <w:proofErr w:type="spellStart"/>
      <w:r>
        <w:rPr>
          <w:sz w:val="28"/>
          <w:szCs w:val="28"/>
        </w:rPr>
        <w:t>адгезивов</w:t>
      </w:r>
      <w:proofErr w:type="spellEnd"/>
      <w:r>
        <w:rPr>
          <w:sz w:val="28"/>
          <w:szCs w:val="28"/>
        </w:rPr>
        <w:t>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Ожидаемый объем инвестиций в основной капитал за 2025-2027 гг. составит порядка 600 млн. рублей.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производстве бумаги и бумажных изделий </w:t>
      </w:r>
      <w:r>
        <w:rPr>
          <w:sz w:val="28"/>
          <w:szCs w:val="28"/>
        </w:rPr>
        <w:t>по итогам 2024 года объем отгруженной продукции оце</w:t>
      </w:r>
      <w:r>
        <w:rPr>
          <w:sz w:val="28"/>
          <w:szCs w:val="28"/>
        </w:rPr>
        <w:t>нивается в 28,1 млрд. рублей, в сопоставимых ценах -  104,8%. К 2025 году планируется увеличение объемов отгруженной продукции до 29,5 млрд. рублей (рост на 3% в сопоставимых ценах).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крупными предприятиями в данном секторе являются: ООО «</w:t>
      </w:r>
      <w:proofErr w:type="spellStart"/>
      <w:r>
        <w:rPr>
          <w:sz w:val="28"/>
          <w:szCs w:val="28"/>
        </w:rPr>
        <w:t>Нижкартон</w:t>
      </w:r>
      <w:proofErr w:type="spellEnd"/>
      <w:r>
        <w:rPr>
          <w:sz w:val="28"/>
          <w:szCs w:val="28"/>
        </w:rPr>
        <w:t>» (производство гофрированной бумаги и картона, бумажной и картонной тары); ООО «</w:t>
      </w:r>
      <w:proofErr w:type="spellStart"/>
      <w:r>
        <w:rPr>
          <w:sz w:val="28"/>
          <w:szCs w:val="28"/>
        </w:rPr>
        <w:t>Хайджин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текнолоджиз</w:t>
      </w:r>
      <w:proofErr w:type="spellEnd"/>
      <w:r>
        <w:rPr>
          <w:sz w:val="28"/>
          <w:szCs w:val="28"/>
        </w:rPr>
        <w:t>» (производство бумажных изделий хозяйственно-бытового и санитарно-гигиенического назначения); 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>» (производство изделий из бумаги и картона) и друг</w:t>
      </w:r>
      <w:r>
        <w:rPr>
          <w:sz w:val="28"/>
          <w:szCs w:val="28"/>
        </w:rPr>
        <w:t>ие.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- производит и поставляет картонную упаковку для лекарств и бумажные инструкции по медицинскому применению почти на все основные предприятия фармацевтической отрасли России. 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продуктами 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>» являются: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упаковочные материалы </w:t>
      </w:r>
      <w:r>
        <w:rPr>
          <w:sz w:val="28"/>
          <w:szCs w:val="28"/>
        </w:rPr>
        <w:t>для лекарств;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для маркировки лекарств, </w:t>
      </w:r>
      <w:proofErr w:type="spellStart"/>
      <w:r>
        <w:rPr>
          <w:sz w:val="28"/>
          <w:szCs w:val="28"/>
        </w:rPr>
        <w:t>БАДов</w:t>
      </w:r>
      <w:proofErr w:type="spellEnd"/>
      <w:r>
        <w:rPr>
          <w:sz w:val="28"/>
          <w:szCs w:val="28"/>
        </w:rPr>
        <w:t xml:space="preserve"> и косметики;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обеспечение для маркировки лекарств «</w:t>
      </w:r>
      <w:proofErr w:type="spellStart"/>
      <w:r>
        <w:rPr>
          <w:sz w:val="28"/>
          <w:szCs w:val="28"/>
        </w:rPr>
        <w:t>ПроСалекс</w:t>
      </w:r>
      <w:proofErr w:type="spellEnd"/>
      <w:r>
        <w:rPr>
          <w:sz w:val="28"/>
          <w:szCs w:val="28"/>
        </w:rPr>
        <w:t>»;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интернет-платформа «</w:t>
      </w:r>
      <w:proofErr w:type="spellStart"/>
      <w:r>
        <w:rPr>
          <w:sz w:val="28"/>
          <w:szCs w:val="28"/>
        </w:rPr>
        <w:t>PharmPro</w:t>
      </w:r>
      <w:proofErr w:type="spellEnd"/>
      <w:r>
        <w:rPr>
          <w:sz w:val="28"/>
          <w:szCs w:val="28"/>
        </w:rPr>
        <w:t xml:space="preserve">» для </w:t>
      </w:r>
      <w:proofErr w:type="spellStart"/>
      <w:r>
        <w:rPr>
          <w:sz w:val="28"/>
          <w:szCs w:val="28"/>
        </w:rPr>
        <w:t>фармкомпаний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экосистемная</w:t>
      </w:r>
      <w:proofErr w:type="spellEnd"/>
      <w:r>
        <w:rPr>
          <w:sz w:val="28"/>
          <w:szCs w:val="28"/>
        </w:rPr>
        <w:t xml:space="preserve"> платформа,</w:t>
      </w:r>
      <w:r>
        <w:rPr>
          <w:sz w:val="28"/>
          <w:szCs w:val="28"/>
        </w:rPr>
        <w:t xml:space="preserve"> которая связывает всех производителей лекарств и всех поставщиков упаковочных материалов;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обеспечение 3D-генератор изображений лекарственных препаратов (позволяет мгновенно создавать и передавать на онлайн-площадки объемные изображения упаковк</w:t>
      </w:r>
      <w:r>
        <w:rPr>
          <w:sz w:val="28"/>
          <w:szCs w:val="28"/>
        </w:rPr>
        <w:t>и лекарств);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торговая площадка </w:t>
      </w:r>
      <w:proofErr w:type="spellStart"/>
      <w:r>
        <w:rPr>
          <w:sz w:val="28"/>
          <w:szCs w:val="28"/>
        </w:rPr>
        <w:t>KolPack</w:t>
      </w:r>
      <w:proofErr w:type="spellEnd"/>
      <w:r>
        <w:rPr>
          <w:sz w:val="28"/>
          <w:szCs w:val="28"/>
        </w:rPr>
        <w:t xml:space="preserve"> (оптимизирует процессы взаимодействия производителей полиграфической продукции и поставщиков картона и бумаги).</w:t>
      </w:r>
    </w:p>
    <w:p w:rsidR="00832A05" w:rsidRDefault="00311484">
      <w:pPr>
        <w:numPr>
          <w:ilvl w:val="0"/>
          <w:numId w:val="15"/>
        </w:numPr>
        <w:tabs>
          <w:tab w:val="left" w:pos="510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прогнозном периоде АО «</w:t>
      </w:r>
      <w:proofErr w:type="spellStart"/>
      <w:r>
        <w:rPr>
          <w:sz w:val="28"/>
          <w:szCs w:val="28"/>
        </w:rPr>
        <w:t>Промис</w:t>
      </w:r>
      <w:proofErr w:type="spellEnd"/>
      <w:r>
        <w:rPr>
          <w:sz w:val="28"/>
          <w:szCs w:val="28"/>
        </w:rPr>
        <w:t>» планирует увеличить объем своей продукции на 13,4%. Ожидаемы</w:t>
      </w:r>
      <w:r>
        <w:rPr>
          <w:sz w:val="28"/>
          <w:szCs w:val="28"/>
        </w:rPr>
        <w:t>й объем инвестиций в основной капитал за 2025-2027 гг. составит порядка 4 млрд. рублей.</w:t>
      </w:r>
    </w:p>
    <w:p w:rsidR="00832A05" w:rsidRDefault="00832A05"/>
    <w:p w:rsidR="00832A05" w:rsidRDefault="00311484">
      <w:pPr>
        <w:numPr>
          <w:ilvl w:val="0"/>
          <w:numId w:val="5"/>
        </w:numPr>
        <w:tabs>
          <w:tab w:val="left" w:pos="5103"/>
        </w:tabs>
        <w:ind w:firstLine="709"/>
        <w:jc w:val="center"/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Водоснабжение, водоотведение, организация сбора и утилизация отходов, деятельность по ликвидации загрязнений</w:t>
      </w:r>
    </w:p>
    <w:p w:rsidR="00832A05" w:rsidRDefault="00832A05">
      <w:pPr>
        <w:numPr>
          <w:ilvl w:val="0"/>
          <w:numId w:val="5"/>
        </w:numPr>
        <w:tabs>
          <w:tab w:val="left" w:pos="5103"/>
        </w:tabs>
        <w:ind w:firstLine="709"/>
        <w:jc w:val="center"/>
        <w:rPr>
          <w:sz w:val="28"/>
          <w:szCs w:val="28"/>
        </w:rPr>
      </w:pPr>
    </w:p>
    <w:p w:rsidR="00832A05" w:rsidRDefault="00311484">
      <w:pPr>
        <w:widowControl w:val="0"/>
        <w:numPr>
          <w:ilvl w:val="0"/>
          <w:numId w:val="5"/>
        </w:numPr>
        <w:ind w:firstLine="709"/>
        <w:jc w:val="both"/>
        <w:rPr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Отгрузка крупных и средних предприятий данного вида деяте</w:t>
      </w:r>
      <w:r>
        <w:rPr>
          <w:rFonts w:eastAsia="Times New Roman"/>
          <w:iCs/>
          <w:sz w:val="28"/>
          <w:szCs w:val="28"/>
        </w:rPr>
        <w:t>льности в 2024 году оценивается на уровне 26,3 млрд. рублей,</w:t>
      </w:r>
      <w:r>
        <w:rPr>
          <w:rFonts w:eastAsia="Times New Roman"/>
          <w:sz w:val="28"/>
          <w:szCs w:val="28"/>
        </w:rPr>
        <w:t xml:space="preserve"> в сопоставимых ценах 113,4% к уровню прошлого года.</w:t>
      </w:r>
      <w:r>
        <w:rPr>
          <w:rFonts w:eastAsia="Times New Roman"/>
          <w:iCs/>
          <w:sz w:val="28"/>
          <w:szCs w:val="28"/>
        </w:rPr>
        <w:t xml:space="preserve"> В 2025 году ее объем прогнозируется на уровне 29 млрд. рублей (в сопоставимых ценах – 102,9%). </w:t>
      </w:r>
    </w:p>
    <w:p w:rsidR="00832A05" w:rsidRDefault="00311484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Основной о</w:t>
      </w:r>
      <w:r>
        <w:rPr>
          <w:rFonts w:eastAsia="Times New Roman"/>
          <w:iCs/>
          <w:sz w:val="28"/>
          <w:szCs w:val="28"/>
        </w:rPr>
        <w:t>бъем производства по данному виду эко</w:t>
      </w:r>
      <w:r>
        <w:rPr>
          <w:rFonts w:eastAsia="Times New Roman"/>
          <w:iCs/>
          <w:sz w:val="28"/>
          <w:szCs w:val="28"/>
        </w:rPr>
        <w:t xml:space="preserve">номической деятельности </w:t>
      </w:r>
      <w:r>
        <w:rPr>
          <w:rFonts w:eastAsia="Times New Roman"/>
          <w:sz w:val="28"/>
          <w:szCs w:val="28"/>
        </w:rPr>
        <w:t>обеспечивается</w:t>
      </w:r>
      <w:r>
        <w:rPr>
          <w:rFonts w:eastAsia="Times New Roman"/>
          <w:iCs/>
          <w:sz w:val="28"/>
          <w:szCs w:val="28"/>
        </w:rPr>
        <w:t xml:space="preserve"> работой 2 предприятий (АО «Нижегородский водоканал», ООО «</w:t>
      </w:r>
      <w:r>
        <w:rPr>
          <w:rFonts w:eastAsia="Times New Roman"/>
          <w:sz w:val="28"/>
          <w:szCs w:val="28"/>
        </w:rPr>
        <w:t>Заводские сети»)</w:t>
      </w:r>
      <w:r>
        <w:rPr>
          <w:rFonts w:eastAsia="Times New Roman"/>
          <w:iCs/>
          <w:sz w:val="28"/>
          <w:szCs w:val="28"/>
        </w:rPr>
        <w:t>.</w:t>
      </w:r>
    </w:p>
    <w:p w:rsidR="00832A05" w:rsidRDefault="00311484">
      <w:pPr>
        <w:widowControl w:val="0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АО «Нижегородский водоканал»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одно из крупнейших современных предприятий, деятельность которого направлена на обеспечение бесперебойного </w:t>
      </w:r>
      <w:r>
        <w:rPr>
          <w:rFonts w:eastAsia="Times New Roman"/>
          <w:sz w:val="28"/>
          <w:szCs w:val="28"/>
        </w:rPr>
        <w:lastRenderedPageBreak/>
        <w:t>пре</w:t>
      </w:r>
      <w:r>
        <w:rPr>
          <w:rFonts w:eastAsia="Times New Roman"/>
          <w:sz w:val="28"/>
          <w:szCs w:val="28"/>
        </w:rPr>
        <w:t>доставления абонентам услуг водоснабжения и водоотведения высшего качества.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Приоритетом для данной организации также является соблюдение экологических норм и правил по обеспечению очистки сточных вод, сбрасываемых в бассейн реки Волги.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АО «Нижегородский водоканал» проводит работу по привлечению средств федерального бюджета для реконструкции объектов водоснабжения и водоотведения: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bidi="ru-RU"/>
        </w:rPr>
        <w:t>1-го Автозаводского напорного коллектора (капитальный ремонт)</w:t>
      </w:r>
      <w:r>
        <w:rPr>
          <w:rFonts w:eastAsia="Times New Roman"/>
          <w:sz w:val="28"/>
          <w:szCs w:val="28"/>
        </w:rPr>
        <w:t>;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Нижегородской станции аэрации (реконструкция в</w:t>
      </w:r>
      <w:r>
        <w:rPr>
          <w:rFonts w:eastAsia="Times New Roman"/>
          <w:sz w:val="28"/>
          <w:szCs w:val="28"/>
        </w:rPr>
        <w:t xml:space="preserve"> рамках федерального проекта «Оздоровление Волги» национального проекта «Экология»);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водопроводной станции «Малиновая гряда» (реконструкция в рамках проекта «Развитие южных территорий города для жилищного строительства»).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bidi="ru-RU"/>
        </w:rPr>
        <w:t>В 2023 году АО «Нижегородский водо</w:t>
      </w:r>
      <w:r>
        <w:rPr>
          <w:rFonts w:eastAsia="Times New Roman"/>
          <w:sz w:val="28"/>
          <w:szCs w:val="28"/>
          <w:lang w:bidi="ru-RU"/>
        </w:rPr>
        <w:t xml:space="preserve">канал» в рамках реализации инвестиционной программы были выполнены мероприятия на сумму более 1 млрд. руб., </w:t>
      </w:r>
      <w:r>
        <w:rPr>
          <w:rFonts w:eastAsia="Times New Roman"/>
          <w:sz w:val="28"/>
          <w:szCs w:val="28"/>
        </w:rPr>
        <w:t>планируемый объем инвестиций в 2024-2027 гг.  составит порядка 15,3 м</w:t>
      </w:r>
      <w:r>
        <w:rPr>
          <w:rFonts w:eastAsia="Times New Roman"/>
          <w:sz w:val="28"/>
          <w:szCs w:val="28"/>
          <w:lang w:bidi="ru-RU"/>
        </w:rPr>
        <w:t>лрд. рублей.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bidi="ru-RU"/>
        </w:rPr>
        <w:t>ООО «Заводские сети»</w:t>
      </w:r>
      <w:r>
        <w:rPr>
          <w:rFonts w:eastAsia="Times New Roman"/>
          <w:sz w:val="28"/>
          <w:szCs w:val="28"/>
          <w:lang w:bidi="ru-RU"/>
        </w:rPr>
        <w:t xml:space="preserve"> - входит в структуру крупнейшей российской эн</w:t>
      </w:r>
      <w:r>
        <w:rPr>
          <w:rFonts w:eastAsia="Times New Roman"/>
          <w:sz w:val="28"/>
          <w:szCs w:val="28"/>
          <w:lang w:bidi="ru-RU"/>
        </w:rPr>
        <w:t>ергетической компании ООО «</w:t>
      </w:r>
      <w:proofErr w:type="spellStart"/>
      <w:r>
        <w:rPr>
          <w:rFonts w:eastAsia="Times New Roman"/>
          <w:sz w:val="28"/>
          <w:szCs w:val="28"/>
          <w:lang w:bidi="ru-RU"/>
        </w:rPr>
        <w:t>ЕвроСибЭнерго</w:t>
      </w:r>
      <w:proofErr w:type="spellEnd"/>
      <w:r>
        <w:rPr>
          <w:rFonts w:eastAsia="Times New Roman"/>
          <w:sz w:val="28"/>
          <w:szCs w:val="28"/>
          <w:lang w:bidi="ru-RU"/>
        </w:rPr>
        <w:t>», занимается производством и транспортировкой питьевой, технической воды, оказанием услуг водоотведения и очистки сточных вод, является второй по объему выпуска организацией в городе по обеспечению жителей города ус</w:t>
      </w:r>
      <w:r>
        <w:rPr>
          <w:rFonts w:eastAsia="Times New Roman"/>
          <w:sz w:val="28"/>
          <w:szCs w:val="28"/>
          <w:lang w:bidi="ru-RU"/>
        </w:rPr>
        <w:t>лугами водоснабжения (питьевой водой)</w:t>
      </w:r>
      <w:r>
        <w:rPr>
          <w:sz w:val="28"/>
          <w:szCs w:val="28"/>
        </w:rPr>
        <w:t>.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bidi="ru-RU"/>
        </w:rPr>
        <w:t xml:space="preserve">Основные потребители — </w:t>
      </w:r>
      <w:r>
        <w:rPr>
          <w:sz w:val="28"/>
          <w:szCs w:val="28"/>
        </w:rPr>
        <w:t>Горьковский автозавод</w:t>
      </w:r>
      <w:r>
        <w:rPr>
          <w:rFonts w:eastAsia="Times New Roman"/>
          <w:sz w:val="28"/>
          <w:szCs w:val="28"/>
          <w:lang w:bidi="ru-RU"/>
        </w:rPr>
        <w:t>, ООО «Автозаводская ТЭЦ», АО «Нижегородский водоканал», население Автозаводского и Ленинского районов города Нижнего Новгорода.</w:t>
      </w:r>
    </w:p>
    <w:p w:rsidR="00832A05" w:rsidRDefault="00311484">
      <w:pPr>
        <w:widowControl w:val="0"/>
        <w:numPr>
          <w:ilvl w:val="0"/>
          <w:numId w:val="5"/>
        </w:numPr>
        <w:tabs>
          <w:tab w:val="clear" w:pos="0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bidi="ru-RU"/>
        </w:rPr>
        <w:t>Наиболее значимыми н</w:t>
      </w:r>
      <w:r>
        <w:rPr>
          <w:rFonts w:eastAsia="Times New Roman"/>
          <w:sz w:val="28"/>
          <w:szCs w:val="28"/>
        </w:rPr>
        <w:t>аправлениями работы в 20</w:t>
      </w:r>
      <w:r>
        <w:rPr>
          <w:rFonts w:eastAsia="Times New Roman"/>
          <w:sz w:val="28"/>
          <w:szCs w:val="28"/>
        </w:rPr>
        <w:t xml:space="preserve">24-2027 гг. </w:t>
      </w:r>
      <w:proofErr w:type="gramStart"/>
      <w:r>
        <w:rPr>
          <w:rFonts w:eastAsia="Times New Roman"/>
          <w:sz w:val="28"/>
          <w:szCs w:val="28"/>
        </w:rPr>
        <w:t>будут:  модернизация</w:t>
      </w:r>
      <w:proofErr w:type="gramEnd"/>
      <w:r>
        <w:rPr>
          <w:rFonts w:eastAsia="Times New Roman"/>
          <w:sz w:val="28"/>
          <w:szCs w:val="28"/>
        </w:rPr>
        <w:t xml:space="preserve"> оборудования, реконструкция сетей водоснабжения и водоотведения, автоматизация насосных станций, внедрение новых технологий, позволяющих снижать затраты на расходные материалы (реагенты), экологические, страховые платежи, в</w:t>
      </w:r>
      <w:r>
        <w:rPr>
          <w:rFonts w:eastAsia="Times New Roman"/>
          <w:sz w:val="28"/>
          <w:szCs w:val="28"/>
        </w:rPr>
        <w:t>ероятность возникновения чрезвычайных ситуаций, а также оказание новых видов услуг.</w:t>
      </w:r>
    </w:p>
    <w:p w:rsidR="00832A05" w:rsidRDefault="00311484">
      <w:pPr>
        <w:widowControl w:val="0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Ожидаемый объем инвестиций в основной капитал в 2024-2027 гг. ООО «Заводские сети» составит порядка 3,2 млрд. рублей.</w:t>
      </w:r>
    </w:p>
    <w:p w:rsidR="00832A05" w:rsidRDefault="00832A05">
      <w:pPr>
        <w:widowControl w:val="0"/>
        <w:numPr>
          <w:ilvl w:val="0"/>
          <w:numId w:val="4"/>
        </w:numPr>
        <w:ind w:firstLine="709"/>
        <w:jc w:val="both"/>
        <w:rPr>
          <w:color w:val="FF0000"/>
          <w:sz w:val="28"/>
          <w:szCs w:val="28"/>
        </w:rPr>
      </w:pPr>
    </w:p>
    <w:p w:rsidR="00832A05" w:rsidRPr="00E4547B" w:rsidRDefault="00311484">
      <w:pPr>
        <w:pStyle w:val="3"/>
        <w:jc w:val="center"/>
        <w:rPr>
          <w:color w:val="auto"/>
          <w:szCs w:val="28"/>
          <w:lang w:val="ru-RU"/>
        </w:rPr>
      </w:pPr>
      <w:r>
        <w:rPr>
          <w:iCs/>
          <w:color w:val="auto"/>
          <w:szCs w:val="28"/>
          <w:lang w:val="ru-RU"/>
        </w:rPr>
        <w:t>Обеспечение электрической энергией, газом, паром, ко</w:t>
      </w:r>
      <w:r>
        <w:rPr>
          <w:iCs/>
          <w:color w:val="auto"/>
          <w:szCs w:val="28"/>
          <w:lang w:val="ru-RU"/>
        </w:rPr>
        <w:t>ндиционирование воздуха</w:t>
      </w:r>
    </w:p>
    <w:p w:rsidR="00832A05" w:rsidRDefault="00832A05">
      <w:pPr>
        <w:ind w:firstLine="709"/>
        <w:jc w:val="both"/>
        <w:rPr>
          <w:color w:val="FF0000"/>
        </w:rPr>
      </w:pPr>
    </w:p>
    <w:p w:rsidR="00832A05" w:rsidRDefault="00311484">
      <w:pPr>
        <w:widowControl w:val="0"/>
        <w:numPr>
          <w:ilvl w:val="0"/>
          <w:numId w:val="6"/>
        </w:numPr>
        <w:tabs>
          <w:tab w:val="clear" w:pos="0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Энергетика является социально значимой и жизнеобеспечивающей отраслью промышленности города Нижнего Новгорода. Данный вид экономической деятельности обеспечивает бесперебойную работу и функционирование всех других отраслей экономик</w:t>
      </w:r>
      <w:r>
        <w:rPr>
          <w:rFonts w:eastAsia="Times New Roman"/>
          <w:sz w:val="28"/>
          <w:szCs w:val="28"/>
        </w:rPr>
        <w:t>и. В общем объеме производства промышленного сектора города энергетика занимает порядка 9%.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Отгрузка крупных и средних предприятий данного вида деятельности в 2024 году оценивается на уровне 84,6 млрд. руб., в сопоставимых ценах – 100,1%.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объем</w:t>
      </w:r>
      <w:r>
        <w:rPr>
          <w:rFonts w:ascii="Times New Roman" w:hAnsi="Times New Roman" w:cs="Times New Roman"/>
          <w:sz w:val="28"/>
          <w:szCs w:val="28"/>
        </w:rPr>
        <w:t xml:space="preserve"> прогнозируется на уровне 89,3 млрд. рублей (в сопоставимых ценах – 100%).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Основным приоритетом деятельности предприятий, функционирующих в сфере производства и распределения электроэнергии, газа и воды, остается обеспечение надежного, качественного и дост</w:t>
      </w:r>
      <w:r>
        <w:rPr>
          <w:rFonts w:ascii="Times New Roman" w:hAnsi="Times New Roman" w:cs="Times New Roman"/>
          <w:sz w:val="28"/>
          <w:szCs w:val="28"/>
        </w:rPr>
        <w:t>упного тепло-, газо- и электроснабжения потребителей на всей территории города.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объемов производства данного сектора будет во многом определяться результатами деятельности следующих предприятий.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«ВВЭК»</w:t>
      </w:r>
      <w:r>
        <w:rPr>
          <w:rFonts w:ascii="Times New Roman" w:hAnsi="Times New Roman" w:cs="Times New Roman"/>
          <w:sz w:val="28"/>
          <w:szCs w:val="28"/>
        </w:rPr>
        <w:t xml:space="preserve"> - энергетическая компания, которая осущест</w:t>
      </w:r>
      <w:r>
        <w:rPr>
          <w:rFonts w:ascii="Times New Roman" w:hAnsi="Times New Roman" w:cs="Times New Roman"/>
          <w:sz w:val="28"/>
          <w:szCs w:val="28"/>
        </w:rPr>
        <w:t>вляет деятельность по эксплуатации объектов электроснабжения Нижегородского, Советского, Приокского районов г. Нижнего Новгорода, находящихся на праве собственности и на праве аренды.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Организацией утверждена и реа</w:t>
      </w:r>
      <w:r>
        <w:rPr>
          <w:rFonts w:ascii="Times New Roman" w:hAnsi="Times New Roman" w:cs="Times New Roman"/>
          <w:sz w:val="28"/>
          <w:szCs w:val="28"/>
        </w:rPr>
        <w:t>лизуется программа в области энергосбережения и повышения энергетической эффективности на 2022-2026 гг., которая включают в себя целевые показатели в области энергосбережения и повышения энергетической эффективности. За счет реализации данной программы</w:t>
      </w:r>
      <w:r>
        <w:rPr>
          <w:rStyle w:val="FontStyle105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2023 год </w:t>
      </w:r>
      <w:r>
        <w:rPr>
          <w:rStyle w:val="FontStyle105"/>
          <w:sz w:val="28"/>
          <w:szCs w:val="28"/>
        </w:rPr>
        <w:t>достигнута экономия энергоресурсов в размере 5,4 млн. кВт*час, что в денежном выражении эквивалентно 21,2 млн.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повышения надежности и качества оказываемых услуг по передаче электроэнергии, а также внедрения энергоэффективных техно</w:t>
      </w:r>
      <w:r>
        <w:rPr>
          <w:rFonts w:ascii="Times New Roman" w:hAnsi="Times New Roman" w:cs="Times New Roman"/>
          <w:sz w:val="28"/>
          <w:szCs w:val="28"/>
        </w:rPr>
        <w:t>логий осуществляется постоянный мониторинг разработок инновационного электрооборудования и материалов ведущих производителей. Наиболее перспективные разработки внедряются как при проведении ремонтов и модернизации существующих электроустановок, так и в нов</w:t>
      </w:r>
      <w:r>
        <w:rPr>
          <w:rFonts w:ascii="Times New Roman" w:hAnsi="Times New Roman" w:cs="Times New Roman"/>
          <w:sz w:val="28"/>
          <w:szCs w:val="28"/>
        </w:rPr>
        <w:t>ом строительстве объектов электросетей.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Значимыми направлениями развития предприятия в текущем году и в прогнозном периоде будут являться: выполнение капитальных ремонтов сетей электроснабжения, осуществление реконструкции, модернизации, строительство тран</w:t>
      </w:r>
      <w:r>
        <w:rPr>
          <w:rFonts w:ascii="Times New Roman" w:hAnsi="Times New Roman" w:cs="Times New Roman"/>
          <w:sz w:val="28"/>
          <w:szCs w:val="28"/>
        </w:rPr>
        <w:t>сформаторных подстанций, кабельных линий электропередачи, установка в распределительных устройствах устройств защиты, автоматики, телемеханики, системы коммерческого и технического учета электроэнергии, принятие в собственность, аренду социально-значимых о</w:t>
      </w:r>
      <w:r>
        <w:rPr>
          <w:rFonts w:ascii="Times New Roman" w:hAnsi="Times New Roman" w:cs="Times New Roman"/>
          <w:sz w:val="28"/>
          <w:szCs w:val="28"/>
        </w:rPr>
        <w:t>бъектов электросетевого хозяйства Нижегородской области.</w:t>
      </w:r>
    </w:p>
    <w:p w:rsidR="00832A05" w:rsidRDefault="00311484">
      <w:pPr>
        <w:tabs>
          <w:tab w:val="left" w:pos="6663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Основными поставщиками </w:t>
      </w:r>
      <w:proofErr w:type="spellStart"/>
      <w:r>
        <w:rPr>
          <w:rFonts w:eastAsia="Times New Roman"/>
          <w:sz w:val="28"/>
          <w:szCs w:val="28"/>
        </w:rPr>
        <w:t>теплоэнергии</w:t>
      </w:r>
      <w:proofErr w:type="spellEnd"/>
      <w:r>
        <w:rPr>
          <w:rFonts w:eastAsia="Times New Roman"/>
          <w:sz w:val="28"/>
          <w:szCs w:val="28"/>
        </w:rPr>
        <w:t xml:space="preserve"> в Нижнем Новгороде являются ООО «Автозаводская ТЭЦ», АО «</w:t>
      </w:r>
      <w:proofErr w:type="spellStart"/>
      <w:r>
        <w:rPr>
          <w:rFonts w:eastAsia="Times New Roman"/>
          <w:sz w:val="28"/>
          <w:szCs w:val="28"/>
        </w:rPr>
        <w:t>Теплоэнерго</w:t>
      </w:r>
      <w:proofErr w:type="spellEnd"/>
      <w:r>
        <w:rPr>
          <w:rFonts w:eastAsia="Times New Roman"/>
          <w:sz w:val="28"/>
          <w:szCs w:val="28"/>
        </w:rPr>
        <w:t>», ООО «Теплосети».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«Автозаводская ТЭЦ» является единственным поставщиком тепловой энергии </w:t>
      </w:r>
      <w:r>
        <w:rPr>
          <w:rFonts w:ascii="Times New Roman" w:hAnsi="Times New Roman" w:cs="Times New Roman"/>
          <w:sz w:val="28"/>
          <w:szCs w:val="28"/>
        </w:rPr>
        <w:t>для двух крупнейших ра</w:t>
      </w:r>
      <w:r>
        <w:rPr>
          <w:rFonts w:ascii="Times New Roman" w:hAnsi="Times New Roman" w:cs="Times New Roman"/>
          <w:sz w:val="28"/>
          <w:szCs w:val="28"/>
        </w:rPr>
        <w:t>йонов Нижнего Новгорода - Автозаводского и Ленинского, обеспечивает тепло- и электроснабжение населения, промышленных предприятий, организаций и учреждений бюджетной сферы, других потребителей.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бесперебойной работы ста</w:t>
      </w:r>
      <w:r>
        <w:rPr>
          <w:rFonts w:ascii="Times New Roman" w:hAnsi="Times New Roman" w:cs="Times New Roman"/>
          <w:sz w:val="28"/>
          <w:szCs w:val="28"/>
        </w:rPr>
        <w:t xml:space="preserve">нции, надежного теплоснабжения жителей Автозаводского и Ленинского района разработаны мероприятия по модернизации существующих элементов тепловой схемы станции </w:t>
      </w:r>
      <w:r>
        <w:rPr>
          <w:rFonts w:ascii="Times New Roman" w:hAnsi="Times New Roman" w:cs="Times New Roman"/>
          <w:color w:val="000000"/>
          <w:sz w:val="28"/>
          <w:szCs w:val="28"/>
        </w:rPr>
        <w:t>в период 2025 - 2027 гг.: техническое перевооружение энергетических котлов, системы отопления пи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ковых котельных, установок горячего водоснабжения, системы отопления, техническое перевооружение подземного газопровода высокого давления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категории «п.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Доскино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Автозавод», выполнение мероприятий по антитеррористической защищенности объектов и другие.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</w:t>
      </w:r>
      <w:r>
        <w:rPr>
          <w:rFonts w:eastAsia="Times New Roman"/>
          <w:sz w:val="28"/>
          <w:szCs w:val="28"/>
        </w:rPr>
        <w:t xml:space="preserve">ОО «Автозаводская ТЭЦ» в рамках инвестиционной программы (до 2026 года) в сфере теплоснабжения </w:t>
      </w:r>
      <w:r>
        <w:rPr>
          <w:rStyle w:val="FontStyle105"/>
          <w:sz w:val="28"/>
          <w:szCs w:val="28"/>
        </w:rPr>
        <w:t>планирует</w:t>
      </w:r>
      <w:r>
        <w:rPr>
          <w:rFonts w:eastAsia="Times New Roman"/>
          <w:sz w:val="28"/>
          <w:szCs w:val="28"/>
        </w:rPr>
        <w:t xml:space="preserve"> объем инвестиций в основной капитал порядка 731,6 млн. рублей.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крупнейший поставщик тепловой энергии в Нижнем Новгороде. На долю ком</w:t>
      </w:r>
      <w:r>
        <w:rPr>
          <w:rFonts w:ascii="Times New Roman" w:hAnsi="Times New Roman" w:cs="Times New Roman"/>
          <w:sz w:val="28"/>
          <w:szCs w:val="28"/>
        </w:rPr>
        <w:t>пании приходится более 50% объема услуг по обеспечению теплом и горячей водой. Обслуживаемая техническая база предприятия состоит из 114 котельных, 144 центральных тепловых пунктов.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прогнозном периоде наиболее значимыми направлениями развития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являются: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теплогенерирующего комплекса;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и оптимизация системы передачи распределения тепловой энергии;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современных методов и технологий водоподготовки и водоочистки сетевой воды от механических примесей и взвешенных ве</w:t>
      </w:r>
      <w:r>
        <w:rPr>
          <w:rFonts w:ascii="Times New Roman" w:hAnsi="Times New Roman" w:cs="Times New Roman"/>
          <w:sz w:val="28"/>
          <w:szCs w:val="28"/>
        </w:rPr>
        <w:t>ществ;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привлекательности АО «</w:t>
      </w:r>
      <w:proofErr w:type="spellStart"/>
      <w:r>
        <w:rPr>
          <w:rFonts w:ascii="Times New Roman" w:hAnsi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/>
          <w:sz w:val="28"/>
          <w:szCs w:val="28"/>
        </w:rPr>
        <w:t>» как работодателя, работа с ВУЗами;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комфортных условий труда для персонала компании (программа «Быт»);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поддержание собираемости платежей потребителей на уровне 99%;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информационных техноло</w:t>
      </w:r>
      <w:r>
        <w:rPr>
          <w:rFonts w:ascii="Times New Roman" w:hAnsi="Times New Roman"/>
          <w:sz w:val="28"/>
          <w:szCs w:val="28"/>
        </w:rPr>
        <w:t>гий и систем.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АО «</w:t>
      </w:r>
      <w:proofErr w:type="spellStart"/>
      <w:r>
        <w:rPr>
          <w:rFonts w:ascii="Times New Roman" w:hAnsi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/>
          <w:sz w:val="28"/>
          <w:szCs w:val="28"/>
        </w:rPr>
        <w:t>» внедряются цифровые технологии и платформенные решения, направленные на повышение эффективности деятельности организации и финансовой устойчивости, осуществляется переход к управлению, основанному на анализе данных, а также</w:t>
      </w:r>
      <w:r>
        <w:rPr>
          <w:rFonts w:ascii="Times New Roman" w:hAnsi="Times New Roman"/>
          <w:sz w:val="28"/>
          <w:szCs w:val="28"/>
        </w:rPr>
        <w:t xml:space="preserve"> на обеспечение информационной безопасности.</w:t>
      </w:r>
    </w:p>
    <w:p w:rsidR="00832A05" w:rsidRDefault="00311484">
      <w:pPr>
        <w:ind w:firstLine="708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Ключевые проекты, запланированные к реализации до 2026 года: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единой системы диспетчеризации теплоэнергетических объектов, реконструкция центральной диспетчерской;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системы контроля технико-эко</w:t>
      </w:r>
      <w:r>
        <w:rPr>
          <w:rFonts w:ascii="Times New Roman" w:hAnsi="Times New Roman" w:cs="Times New Roman"/>
          <w:sz w:val="28"/>
          <w:szCs w:val="28"/>
        </w:rPr>
        <w:t>номических показателей функционирования источников тепловой энергии;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системы автоматического сбора показаний с общедомовых приборов учета тепловой энергии;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платформы автоматизации выполнения мероприятий инвестиционной программы;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</w:t>
      </w:r>
      <w:r>
        <w:rPr>
          <w:rFonts w:ascii="Times New Roman" w:hAnsi="Times New Roman" w:cs="Times New Roman"/>
          <w:sz w:val="28"/>
          <w:szCs w:val="28"/>
        </w:rPr>
        <w:t>ие голосовых и текстовых роботов;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импортозамещения в части внедрения отечественных компьютерных систем и программного обеспечения;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«Цифровой работодатель», направленного на повышение лояльности персонала, создание условий для развития и повышения компетенций работников (корпоративный портал и личный кабинет работника, платформа обучения и развития персонала).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</w:t>
      </w:r>
      <w:r>
        <w:rPr>
          <w:rFonts w:ascii="Times New Roman" w:hAnsi="Times New Roman" w:cs="Times New Roman"/>
          <w:sz w:val="28"/>
          <w:szCs w:val="28"/>
        </w:rPr>
        <w:t>ах реализации направления «бережливое производство» АО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Система «Рост». Данная система направлена на повышение вовлеченности работников в культуру непрерывных улучшений, а также внедрение инициатив – </w:t>
      </w:r>
      <w:r>
        <w:rPr>
          <w:rFonts w:ascii="Times New Roman" w:hAnsi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роектов, направленных на повышение эффективности работы. В 2024 году реализовано 47 проектов из 84 заявок.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Реализация проекта «Эталонная котельная». Проект разработан в целях обеспечения условий привлечения и удержания персонала требуемой квалификации, </w:t>
      </w:r>
      <w:r>
        <w:rPr>
          <w:rFonts w:ascii="Times New Roman" w:hAnsi="Times New Roman"/>
          <w:sz w:val="28"/>
          <w:szCs w:val="28"/>
        </w:rPr>
        <w:t>формирования у работников внутренней мотивации к выполнению поставленных задач, повышения эффективности и производительности труда персонала распределительных тепловых сетей и служб при эксплуатации оборудования котельных и тепловых сетей, обеспечения свое</w:t>
      </w:r>
      <w:r>
        <w:rPr>
          <w:rFonts w:ascii="Times New Roman" w:hAnsi="Times New Roman"/>
          <w:sz w:val="28"/>
          <w:szCs w:val="28"/>
        </w:rPr>
        <w:t xml:space="preserve">временного выполнения технического обслуживания и ремонта оборудования объектов в соответствии с графиком планово-предупредительных ремонтов, рационального расходования ресурсов, создания условий для мотивирования персонала на повышение энергосбережения и </w:t>
      </w:r>
      <w:proofErr w:type="spellStart"/>
      <w:r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работы. По итогам 2023 </w:t>
      </w:r>
      <w:proofErr w:type="gramStart"/>
      <w:r>
        <w:rPr>
          <w:rFonts w:ascii="Times New Roman" w:hAnsi="Times New Roman"/>
          <w:sz w:val="28"/>
          <w:szCs w:val="28"/>
        </w:rPr>
        <w:t>года  на</w:t>
      </w:r>
      <w:proofErr w:type="gramEnd"/>
      <w:r>
        <w:rPr>
          <w:rFonts w:ascii="Times New Roman" w:hAnsi="Times New Roman"/>
          <w:sz w:val="28"/>
          <w:szCs w:val="28"/>
        </w:rPr>
        <w:t xml:space="preserve"> 6 котельных был достигнут положительный эффект в сумме 1,4 млн.руб. В 2024 году в проекте принимают участие 13 котельных общества.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связи с введением в отношении АО «</w:t>
      </w:r>
      <w:proofErr w:type="spellStart"/>
      <w:r>
        <w:rPr>
          <w:rFonts w:eastAsia="Times New Roman"/>
          <w:sz w:val="28"/>
          <w:szCs w:val="28"/>
        </w:rPr>
        <w:t>Теплоэнерго</w:t>
      </w:r>
      <w:proofErr w:type="spellEnd"/>
      <w:r>
        <w:rPr>
          <w:rFonts w:eastAsia="Times New Roman"/>
          <w:sz w:val="28"/>
          <w:szCs w:val="28"/>
        </w:rPr>
        <w:t>» мер ограничительного хар</w:t>
      </w:r>
      <w:r>
        <w:rPr>
          <w:rFonts w:eastAsia="Times New Roman"/>
          <w:sz w:val="28"/>
          <w:szCs w:val="28"/>
        </w:rPr>
        <w:t xml:space="preserve">актера отмечены случаи удорожания запасных частей к оборудованию, увеличение сроков поставки оборудования, </w:t>
      </w:r>
      <w:r>
        <w:rPr>
          <w:rStyle w:val="1fe"/>
          <w:color w:val="000000"/>
          <w:sz w:val="28"/>
          <w:szCs w:val="28"/>
          <w:u w:val="none"/>
          <w:shd w:val="clear" w:color="auto" w:fill="FFFFFF"/>
        </w:rPr>
        <w:t>а также</w:t>
      </w:r>
      <w:r>
        <w:rPr>
          <w:rFonts w:eastAsia="Times New Roman"/>
          <w:sz w:val="28"/>
          <w:szCs w:val="28"/>
        </w:rPr>
        <w:t xml:space="preserve"> вынужденный переход на иное оборудование. В условиях санкций продолжают оказываться меры государственной поддержки АО «</w:t>
      </w:r>
      <w:proofErr w:type="spellStart"/>
      <w:r>
        <w:rPr>
          <w:rFonts w:eastAsia="Times New Roman"/>
          <w:sz w:val="28"/>
          <w:szCs w:val="28"/>
        </w:rPr>
        <w:t>Теплоэнерго</w:t>
      </w:r>
      <w:proofErr w:type="spellEnd"/>
      <w:r>
        <w:rPr>
          <w:rFonts w:eastAsia="Times New Roman"/>
          <w:sz w:val="28"/>
          <w:szCs w:val="28"/>
        </w:rPr>
        <w:t>» в соответ</w:t>
      </w:r>
      <w:r>
        <w:rPr>
          <w:rFonts w:eastAsia="Times New Roman"/>
          <w:sz w:val="28"/>
          <w:szCs w:val="28"/>
        </w:rPr>
        <w:t>ствии с постановлением Правительства Нижегородской области от 28.04.2023 №366 «Об утверждении региональной программы Нижегородской области «Модернизация систем коммунальной инфраструктуры (2023 - 2027 годы)». Региональная программа предусматривает выделени</w:t>
      </w:r>
      <w:r>
        <w:rPr>
          <w:rFonts w:eastAsia="Times New Roman"/>
          <w:sz w:val="28"/>
          <w:szCs w:val="28"/>
        </w:rPr>
        <w:t>е бюджетного финансирования для капитального ремонта тепловых сетей Нижнего Новгорода в 2023 и 2024 годах. В 2023 году получены средства в сумме 72,5 млн.руб.</w:t>
      </w:r>
    </w:p>
    <w:p w:rsidR="00832A05" w:rsidRDefault="00311484">
      <w:pPr>
        <w:pStyle w:val="1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инвестиционной программы АО «</w:t>
      </w:r>
      <w:proofErr w:type="spellStart"/>
      <w:r>
        <w:rPr>
          <w:rFonts w:ascii="Times New Roman" w:hAnsi="Times New Roman"/>
          <w:sz w:val="28"/>
          <w:szCs w:val="28"/>
        </w:rPr>
        <w:t>Теплоэнерго</w:t>
      </w:r>
      <w:proofErr w:type="spellEnd"/>
      <w:r>
        <w:rPr>
          <w:rFonts w:ascii="Times New Roman" w:hAnsi="Times New Roman"/>
          <w:sz w:val="28"/>
          <w:szCs w:val="28"/>
        </w:rPr>
        <w:t>» планируемый объем инвестиций в основной капита</w:t>
      </w:r>
      <w:r>
        <w:rPr>
          <w:rFonts w:ascii="Times New Roman" w:hAnsi="Times New Roman"/>
          <w:sz w:val="28"/>
          <w:szCs w:val="28"/>
        </w:rPr>
        <w:t>л на 2024-2027 гг. составит порядка 7,2 млрд. рублей. Будет продолжена реализация концессионного соглашения, заключенного в 2023 г. (на срок до 2047 г.), для проведения комплексной реконструкции и модернизации городских объектов, используя собственные и пр</w:t>
      </w:r>
      <w:r>
        <w:rPr>
          <w:rFonts w:ascii="Times New Roman" w:hAnsi="Times New Roman"/>
          <w:sz w:val="28"/>
          <w:szCs w:val="28"/>
        </w:rPr>
        <w:t>ивлеченные финансовые ресурсы.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«Теплосети»</w:t>
      </w:r>
      <w:r>
        <w:rPr>
          <w:rFonts w:ascii="Times New Roman" w:hAnsi="Times New Roman" w:cs="Times New Roman"/>
          <w:sz w:val="28"/>
          <w:szCs w:val="28"/>
        </w:rPr>
        <w:t xml:space="preserve"> производит техническое обслуживание и ремонт муниципальных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теплосетевых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на территории Автозаводского и Ленинского районов города, а также тепловых сетей на территории Горьковского автозавода.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предприятия является обеспечение безаварийного теплоснабжения и горячего водоснабжения Автозаводского и Ленинского районов города.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Приоритетными задачами предприятия являются: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надежности и качества теплоснабжения путем модернизации и</w:t>
      </w:r>
      <w:r>
        <w:rPr>
          <w:rFonts w:ascii="Times New Roman" w:hAnsi="Times New Roman" w:cs="Times New Roman"/>
          <w:sz w:val="28"/>
          <w:szCs w:val="28"/>
        </w:rPr>
        <w:t>зношенных тепловых сетей с применением инновационных достижений в сфере энергосбережения (снижение тепловых потерь);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системы горячего водоснабжения Автозаводского района для обеспечения нормативной температуры горячего водоснабжения у потреби</w:t>
      </w:r>
      <w:r>
        <w:rPr>
          <w:rFonts w:ascii="Times New Roman" w:hAnsi="Times New Roman" w:cs="Times New Roman"/>
          <w:sz w:val="28"/>
          <w:szCs w:val="28"/>
        </w:rPr>
        <w:t xml:space="preserve">телей в рамках решений, предусмотренных в «Схеме теплоснабжения города Нижнего </w:t>
      </w:r>
      <w:r>
        <w:rPr>
          <w:rFonts w:ascii="Times New Roman" w:hAnsi="Times New Roman" w:cs="Times New Roman"/>
          <w:sz w:val="28"/>
          <w:szCs w:val="28"/>
        </w:rPr>
        <w:lastRenderedPageBreak/>
        <w:t>Новгорода на период до 2030 года»;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сетей теплоснабжения Автозаводского и Ленинского районов для обеспечения возможности подключения к теплоснабжению перспективных жилых</w:t>
      </w:r>
      <w:r>
        <w:rPr>
          <w:rFonts w:ascii="Times New Roman" w:hAnsi="Times New Roman" w:cs="Times New Roman"/>
          <w:sz w:val="28"/>
          <w:szCs w:val="28"/>
        </w:rPr>
        <w:t xml:space="preserve"> массивов;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и диспетчеризация объектов горячего водоснабжения с применением «безлюдных технологий» и внедрением энергосберегающих технологий – установкой частотных приводов на электродвигатели насосов для горячего водоснабжения в тепловых насо</w:t>
      </w:r>
      <w:r>
        <w:rPr>
          <w:rFonts w:ascii="Times New Roman" w:hAnsi="Times New Roman" w:cs="Times New Roman"/>
          <w:sz w:val="28"/>
          <w:szCs w:val="28"/>
        </w:rPr>
        <w:t>сных станциях и центральных тепловых пунктах.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«Теплосети» в рамках инвестиционной программы по развитию теплоснабжения Ленинского и Автозаводского районов г. Нижнего Новгорода </w:t>
      </w:r>
      <w:r>
        <w:rPr>
          <w:rStyle w:val="FontStyle105"/>
          <w:sz w:val="28"/>
          <w:szCs w:val="28"/>
        </w:rPr>
        <w:t xml:space="preserve">планирует направить </w:t>
      </w:r>
      <w:r>
        <w:rPr>
          <w:rFonts w:ascii="Times New Roman" w:hAnsi="Times New Roman" w:cs="Times New Roman"/>
          <w:sz w:val="28"/>
          <w:szCs w:val="28"/>
        </w:rPr>
        <w:t>инвестиции на строительство новых и реконструкцию действ</w:t>
      </w:r>
      <w:r>
        <w:rPr>
          <w:rFonts w:ascii="Times New Roman" w:hAnsi="Times New Roman" w:cs="Times New Roman"/>
          <w:sz w:val="28"/>
          <w:szCs w:val="28"/>
        </w:rPr>
        <w:t>ующих электроэнергетических объектов в размере 1,1 млрд. рублей.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росту объемов отгрузки данного сектора будет также инвестиционная деятельность следующих предприятий: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Нижегородский ПАО «Т Плюс»</w:t>
      </w:r>
      <w:r>
        <w:rPr>
          <w:rFonts w:ascii="Times New Roman" w:hAnsi="Times New Roman" w:cs="Times New Roman"/>
          <w:sz w:val="28"/>
          <w:szCs w:val="28"/>
        </w:rPr>
        <w:t xml:space="preserve"> - в рамках инвестиционной программы в сф</w:t>
      </w:r>
      <w:r>
        <w:rPr>
          <w:rFonts w:ascii="Times New Roman" w:hAnsi="Times New Roman" w:cs="Times New Roman"/>
          <w:sz w:val="28"/>
          <w:szCs w:val="28"/>
        </w:rPr>
        <w:t>ере теплоснабжения в 2024-2027 гг. объем инвестиций составит 876,3 млн. рублей.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«Специнвестпроект», предоставляющее услуги по передаче электрической энергии, планирует инвестировать в строительство новых и реконструкцию действующих электроэнергетически</w:t>
      </w:r>
      <w:r>
        <w:rPr>
          <w:rFonts w:ascii="Times New Roman" w:hAnsi="Times New Roman" w:cs="Times New Roman"/>
          <w:sz w:val="28"/>
          <w:szCs w:val="28"/>
        </w:rPr>
        <w:t>х объектов в 2024 – 2027 гг. - 1 492 млн. рублей.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Волгаэнергосбыт</w:t>
      </w:r>
      <w:proofErr w:type="spellEnd"/>
      <w:r>
        <w:rPr>
          <w:rFonts w:ascii="Times New Roman" w:hAnsi="Times New Roman" w:cs="Times New Roman"/>
          <w:sz w:val="28"/>
          <w:szCs w:val="28"/>
        </w:rPr>
        <w:t>» в</w:t>
      </w:r>
      <w:r>
        <w:rPr>
          <w:rFonts w:ascii="Times New Roman" w:hAnsi="Times New Roman" w:cs="Times New Roman"/>
          <w:sz w:val="28"/>
          <w:szCs w:val="28"/>
        </w:rPr>
        <w:t xml:space="preserve"> целях исполнения обязательств гарантирующего поставщика по обеспечению учета электроэнергии (мощности), в том числе посредством интеллектуальной системы учёта электроэнергии (мощности</w:t>
      </w:r>
      <w:r>
        <w:rPr>
          <w:rFonts w:ascii="Times New Roman" w:hAnsi="Times New Roman" w:cs="Times New Roman"/>
          <w:sz w:val="28"/>
          <w:szCs w:val="28"/>
        </w:rPr>
        <w:t>), определенных п. 5 ст. 37 Федерального закона от 26.03.2003 № 35-Ф3 «Об электроэнергетике», продолжит реализацию инвестиционной программы «Создание интеллектуальной системы учета электрической энергии в период 2023-2027 гг.». Общий объем инвестиций соста</w:t>
      </w:r>
      <w:r>
        <w:rPr>
          <w:rFonts w:ascii="Times New Roman" w:hAnsi="Times New Roman" w:cs="Times New Roman"/>
          <w:sz w:val="28"/>
          <w:szCs w:val="28"/>
        </w:rPr>
        <w:t>вит 439,9 млн. рублей.</w:t>
      </w:r>
    </w:p>
    <w:p w:rsidR="00832A05" w:rsidRDefault="00832A05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32A05" w:rsidRDefault="00311484">
      <w:pPr>
        <w:ind w:right="4" w:firstLine="709"/>
        <w:contextualSpacing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Транспортировка и хранение</w:t>
      </w:r>
    </w:p>
    <w:p w:rsidR="00832A05" w:rsidRDefault="00832A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ожидаемый объем отгрузки крупными и средними предприятиями по виду деятельности «транспортировка и хранение» составит порядка 223,8 млрд. руб., в сопоставимых ценах – 92,8%. В 2025 году прогно</w:t>
      </w:r>
      <w:r>
        <w:rPr>
          <w:sz w:val="28"/>
          <w:szCs w:val="28"/>
        </w:rPr>
        <w:t>зируется рост объема отгрузки до 244,1 млрд. руб. (в сопоставимых ценах – 103%).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Транспортная инфраструктура города Нижнего Новгорода представлена трубопроводным, </w:t>
      </w:r>
      <w:proofErr w:type="gramStart"/>
      <w:r>
        <w:rPr>
          <w:sz w:val="28"/>
          <w:szCs w:val="28"/>
        </w:rPr>
        <w:t>воздушным,  водным</w:t>
      </w:r>
      <w:proofErr w:type="gramEnd"/>
      <w:r>
        <w:rPr>
          <w:sz w:val="28"/>
          <w:szCs w:val="28"/>
        </w:rPr>
        <w:t>, железнодорожным, автомобильным, внеуличным (метро, канатная дорога) транс</w:t>
      </w:r>
      <w:r>
        <w:rPr>
          <w:sz w:val="28"/>
          <w:szCs w:val="28"/>
        </w:rPr>
        <w:t>портом.</w:t>
      </w:r>
    </w:p>
    <w:p w:rsidR="00832A05" w:rsidRDefault="00311484">
      <w:pPr>
        <w:pStyle w:val="a6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Крупнейшим представителем трубопроводного транспорта на территории города является ООО «Газпром </w:t>
      </w:r>
      <w:proofErr w:type="spellStart"/>
      <w:r>
        <w:rPr>
          <w:rFonts w:ascii="Times New Roman" w:hAnsi="Times New Roman"/>
          <w:sz w:val="28"/>
          <w:szCs w:val="28"/>
        </w:rPr>
        <w:t>трансгаз</w:t>
      </w:r>
      <w:proofErr w:type="spellEnd"/>
      <w:r>
        <w:rPr>
          <w:rFonts w:ascii="Times New Roman" w:hAnsi="Times New Roman"/>
          <w:sz w:val="28"/>
          <w:szCs w:val="28"/>
        </w:rPr>
        <w:t xml:space="preserve"> Нижний Новгород». </w:t>
      </w:r>
      <w:r>
        <w:rPr>
          <w:rFonts w:ascii="Times New Roman" w:hAnsi="Times New Roman"/>
          <w:sz w:val="28"/>
          <w:szCs w:val="28"/>
        </w:rPr>
        <w:t xml:space="preserve">Общество транспортирует природный газ в 15 регионах Центрального и Приволжского федеральных округов России. Газотранспортная система включает в себя более 13 тысяч километров магистральных газопроводов, по которым перекачивается </w:t>
      </w:r>
      <w:r>
        <w:rPr>
          <w:rFonts w:ascii="Times New Roman" w:hAnsi="Times New Roman"/>
          <w:sz w:val="28"/>
          <w:szCs w:val="28"/>
        </w:rPr>
        <w:lastRenderedPageBreak/>
        <w:t>ежегодно до 200 млрд. кубом</w:t>
      </w:r>
      <w:r>
        <w:rPr>
          <w:rFonts w:ascii="Times New Roman" w:hAnsi="Times New Roman"/>
          <w:sz w:val="28"/>
          <w:szCs w:val="28"/>
        </w:rPr>
        <w:t>етров газа. Предприятие занимает третье место в ПАО «Газпром» по протяженности эксплуатируемых газопроводов и четвертое по объемам транспортируемого природного газа.</w:t>
      </w:r>
      <w:r>
        <w:t xml:space="preserve"> 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приоритеты развития в прогнозном периоде: повышение надежности газотранспортного</w:t>
      </w:r>
      <w:r>
        <w:rPr>
          <w:rFonts w:ascii="Times New Roman" w:hAnsi="Times New Roman"/>
          <w:sz w:val="28"/>
          <w:szCs w:val="28"/>
        </w:rPr>
        <w:t xml:space="preserve"> комплекса, реализация программы ресурсосбережения, повышение квалификации кадров.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Воздушный транспорт города Нижнего Новгорода представляет АО «Международный аэропорт Нижний Новгород» им. </w:t>
      </w:r>
      <w:proofErr w:type="spellStart"/>
      <w:r>
        <w:rPr>
          <w:sz w:val="28"/>
          <w:szCs w:val="28"/>
        </w:rPr>
        <w:t>В.П.Чкалова</w:t>
      </w:r>
      <w:proofErr w:type="spellEnd"/>
      <w:r>
        <w:rPr>
          <w:sz w:val="28"/>
          <w:szCs w:val="28"/>
        </w:rPr>
        <w:t>» (МАНН). За 1 полугодие 2024 аэропорт обслужил более 66</w:t>
      </w:r>
      <w:r>
        <w:rPr>
          <w:sz w:val="28"/>
          <w:szCs w:val="28"/>
        </w:rPr>
        <w:t xml:space="preserve">2 тысяч пассажиров, основная часть из которых (536 тысяч) – пассажиры внутрироссийских рейсов. Пассажиропоток вырос на 14% по сравнению с аналогичным периодом прошлого года.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МАНН является основным запасным аэродромом московского авиационного узла. За 6 ме</w:t>
      </w:r>
      <w:r>
        <w:rPr>
          <w:sz w:val="28"/>
          <w:szCs w:val="28"/>
        </w:rPr>
        <w:t>сяцев 2024 года МАНН принял 47 самолетов, которые не смогли совершить посадку по разным причинам в аэропортах столицы. Всего же в первом полугодии в аэропорту было обеспечено 7,5 тысяч взлетно-посадочных операций, обработано более 600 тонн грузов и 3 670 т</w:t>
      </w:r>
      <w:r>
        <w:rPr>
          <w:sz w:val="28"/>
          <w:szCs w:val="28"/>
        </w:rPr>
        <w:t>онн багажа.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прогнозном периоде ожидается увеличение пассажиропотока и объемов перевезенных грузов, объем инвестиций в основной капитал составит более 700 млн. руб. </w:t>
      </w:r>
    </w:p>
    <w:p w:rsidR="00832A05" w:rsidRDefault="00311484">
      <w:pPr>
        <w:pStyle w:val="a6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Основным представителем водного транспорта 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является  </w:t>
      </w:r>
      <w:r>
        <w:rPr>
          <w:rFonts w:ascii="Times New Roman" w:eastAsia="Calibri" w:hAnsi="Times New Roman"/>
          <w:sz w:val="28"/>
          <w:szCs w:val="28"/>
          <w:lang w:val="en-US"/>
        </w:rPr>
        <w:t>AO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«Судоходная компания «Волжское па</w:t>
      </w:r>
      <w:r>
        <w:rPr>
          <w:rFonts w:ascii="Times New Roman" w:eastAsia="Calibri" w:hAnsi="Times New Roman"/>
          <w:sz w:val="28"/>
          <w:szCs w:val="28"/>
        </w:rPr>
        <w:t>роходство» (АО «Волга-флот») - одна из</w:t>
      </w:r>
      <w:r>
        <w:rPr>
          <w:rFonts w:ascii="Times New Roman" w:eastAsia="Calibri" w:hAnsi="Times New Roman"/>
          <w:sz w:val="28"/>
          <w:szCs w:val="28"/>
          <w:lang w:val="en-US"/>
        </w:rPr>
        <w:t> </w:t>
      </w:r>
      <w:r>
        <w:rPr>
          <w:rFonts w:ascii="Times New Roman" w:eastAsia="Calibri" w:hAnsi="Times New Roman"/>
          <w:sz w:val="28"/>
          <w:szCs w:val="28"/>
        </w:rPr>
        <w:t>крупнейших судоходных компаний России, выполняющая грузовые перевозки на</w:t>
      </w:r>
      <w:r>
        <w:rPr>
          <w:rFonts w:ascii="Times New Roman" w:eastAsia="Calibri" w:hAnsi="Times New Roman"/>
          <w:sz w:val="28"/>
          <w:szCs w:val="28"/>
          <w:lang w:val="en-US"/>
        </w:rPr>
        <w:t> </w:t>
      </w:r>
      <w:r>
        <w:rPr>
          <w:rFonts w:ascii="Times New Roman" w:eastAsia="Calibri" w:hAnsi="Times New Roman"/>
          <w:sz w:val="28"/>
          <w:szCs w:val="28"/>
        </w:rPr>
        <w:t>внутренних водных путях России в</w:t>
      </w:r>
      <w:r>
        <w:rPr>
          <w:rFonts w:ascii="Times New Roman" w:eastAsia="Calibri" w:hAnsi="Times New Roman"/>
          <w:sz w:val="28"/>
          <w:szCs w:val="28"/>
          <w:lang w:val="en-US"/>
        </w:rPr>
        <w:t> </w:t>
      </w:r>
      <w:r>
        <w:rPr>
          <w:rFonts w:ascii="Times New Roman" w:eastAsia="Calibri" w:hAnsi="Times New Roman"/>
          <w:sz w:val="28"/>
          <w:szCs w:val="28"/>
        </w:rPr>
        <w:t>сообщении «река-море» и на международных морских направлениях.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Железнодорожный транспорт в городе представляет </w:t>
      </w:r>
      <w:r>
        <w:rPr>
          <w:rFonts w:ascii="Times New Roman" w:hAnsi="Times New Roman"/>
          <w:sz w:val="28"/>
          <w:szCs w:val="28"/>
        </w:rPr>
        <w:t xml:space="preserve">Филиал ОАО «РЖД» Горьковская железная дорога, которая относится к числу самых оснащенных магистралей страны и продолжает наращивать свой технический и технологический потенциал для обеспечения грузовых и пассажирских перевозок, создания комфортных условий </w:t>
      </w:r>
      <w:r>
        <w:rPr>
          <w:rFonts w:ascii="Times New Roman" w:hAnsi="Times New Roman"/>
          <w:sz w:val="28"/>
          <w:szCs w:val="28"/>
        </w:rPr>
        <w:t>для пассажиров.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январе-сентябре 2024 года более 30 млн. пассажиров были отправлены с вокзалов и станций Горьковской железной дороги, что на 4,2% больше аналогичного периода 2023 года. Из </w:t>
      </w:r>
      <w:proofErr w:type="gramStart"/>
      <w:r>
        <w:rPr>
          <w:rFonts w:ascii="Times New Roman" w:hAnsi="Times New Roman"/>
          <w:sz w:val="28"/>
          <w:szCs w:val="28"/>
        </w:rPr>
        <w:t>них:  в</w:t>
      </w:r>
      <w:proofErr w:type="gramEnd"/>
      <w:r>
        <w:rPr>
          <w:rFonts w:ascii="Times New Roman" w:hAnsi="Times New Roman"/>
          <w:sz w:val="28"/>
          <w:szCs w:val="28"/>
        </w:rPr>
        <w:t xml:space="preserve"> дальнем следовании перевезено более 7 млн. пассажиров (на 4</w:t>
      </w:r>
      <w:r>
        <w:rPr>
          <w:rFonts w:ascii="Times New Roman" w:hAnsi="Times New Roman"/>
          <w:sz w:val="28"/>
          <w:szCs w:val="28"/>
        </w:rPr>
        <w:t>,5% больше), в пригородном сообщении – более 23 млн. (на 4,1% больше).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8 месяцев 2024 года скоростными поездами «Ласточка» в сообщении с Нижним Новгородом перевезено свыше 2,8 млн. человек, что на 5,7% больше, чем за аналогичный период прошлого года.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ршрутами «Городской электрички» в Нижнем Новгороде за 8 месяцев 2024 года воспользовались почти 1 млн. человек. Проект Горьковской железной дороги и АО «ВВППК» реализуется с 2013 года и призван интегрировать железнодорожный транспорт в единую маршрутную се</w:t>
      </w:r>
      <w:r>
        <w:rPr>
          <w:rFonts w:ascii="Times New Roman" w:hAnsi="Times New Roman"/>
          <w:sz w:val="28"/>
          <w:szCs w:val="28"/>
        </w:rPr>
        <w:t xml:space="preserve">ть Нижнего Новгорода. «Городская электричка» курсирует по двум направлениям – </w:t>
      </w:r>
      <w:proofErr w:type="spellStart"/>
      <w:r>
        <w:rPr>
          <w:rFonts w:ascii="Times New Roman" w:hAnsi="Times New Roman"/>
          <w:sz w:val="28"/>
          <w:szCs w:val="28"/>
        </w:rPr>
        <w:t>Сормовскому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Приокскому.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АО «Нижегородские канатные дороги» - ежегодно перевозит почти 2 млн. пассажиров. В прогнозном периоде предприятием планируется увеличить </w:t>
      </w:r>
      <w:r>
        <w:rPr>
          <w:rFonts w:ascii="Times New Roman" w:hAnsi="Times New Roman"/>
          <w:sz w:val="28"/>
          <w:szCs w:val="28"/>
        </w:rPr>
        <w:lastRenderedPageBreak/>
        <w:t>количество подв</w:t>
      </w:r>
      <w:r>
        <w:rPr>
          <w:rFonts w:ascii="Times New Roman" w:hAnsi="Times New Roman"/>
          <w:sz w:val="28"/>
          <w:szCs w:val="28"/>
        </w:rPr>
        <w:t xml:space="preserve">ижного </w:t>
      </w:r>
      <w:proofErr w:type="gramStart"/>
      <w:r>
        <w:rPr>
          <w:rFonts w:ascii="Times New Roman" w:hAnsi="Times New Roman"/>
          <w:sz w:val="28"/>
          <w:szCs w:val="28"/>
        </w:rPr>
        <w:t>состава  с</w:t>
      </w:r>
      <w:proofErr w:type="gramEnd"/>
      <w:r>
        <w:rPr>
          <w:rFonts w:ascii="Times New Roman" w:hAnsi="Times New Roman"/>
          <w:sz w:val="28"/>
          <w:szCs w:val="28"/>
        </w:rPr>
        <w:t xml:space="preserve"> 28 до 56 кабин с целью увеличения пропускной способности  канатной дороги.</w:t>
      </w:r>
    </w:p>
    <w:p w:rsidR="00832A05" w:rsidRDefault="0031148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транспортной и дорожной инфраструктуры города</w:t>
      </w:r>
    </w:p>
    <w:p w:rsidR="00832A05" w:rsidRDefault="00311484">
      <w:pPr>
        <w:pStyle w:val="a6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Протяженность улично-дорожной сети города Нижнего Новгорода (в том числе УДС Новинского сельсовета) составл</w:t>
      </w:r>
      <w:r>
        <w:rPr>
          <w:rFonts w:ascii="Times New Roman" w:eastAsia="Calibri" w:hAnsi="Times New Roman"/>
          <w:sz w:val="28"/>
          <w:szCs w:val="28"/>
        </w:rPr>
        <w:t>яет 1 661,6 км.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На территории города Нижнего Новгорода основной ремонт автомобильных дорог производится в рамках реализации национального проекта «Безопасные качественные дороги» (БКД). Срок реализации данного проекта рассчитан до 2027 года.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ru-RU"/>
        </w:rPr>
        <w:t>Для реализации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ru-RU"/>
        </w:rPr>
        <w:t xml:space="preserve"> национального проекта в 2024 году заключены муниципальные контракты на ремонт 13 участков автомобильных </w:t>
      </w:r>
      <w:proofErr w:type="gramStart"/>
      <w:r>
        <w:rPr>
          <w:rFonts w:ascii="Times New Roman" w:eastAsia="Calibri" w:hAnsi="Times New Roman"/>
          <w:color w:val="000000" w:themeColor="text1"/>
          <w:sz w:val="28"/>
          <w:szCs w:val="28"/>
          <w:lang w:val="ru-RU"/>
        </w:rPr>
        <w:t>дорог  протяженностью</w:t>
      </w:r>
      <w:proofErr w:type="gramEnd"/>
      <w:r>
        <w:rPr>
          <w:rFonts w:ascii="Times New Roman" w:eastAsia="Calibri" w:hAnsi="Times New Roman"/>
          <w:color w:val="000000" w:themeColor="text1"/>
          <w:sz w:val="28"/>
          <w:szCs w:val="28"/>
          <w:lang w:val="ru-RU"/>
        </w:rPr>
        <w:t xml:space="preserve"> 13,9 км.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 В прогнозном периоде в рамках реализации БКД </w:t>
      </w:r>
      <w:proofErr w:type="gramStart"/>
      <w:r>
        <w:rPr>
          <w:rFonts w:ascii="Times New Roman" w:eastAsia="Calibri" w:hAnsi="Times New Roman"/>
          <w:sz w:val="28"/>
          <w:szCs w:val="28"/>
          <w:lang w:val="ru-RU"/>
        </w:rPr>
        <w:t>планируется  отремонтировать</w:t>
      </w:r>
      <w:proofErr w:type="gramEnd"/>
      <w:r>
        <w:rPr>
          <w:rFonts w:ascii="Times New Roman" w:eastAsia="Calibri" w:hAnsi="Times New Roman"/>
          <w:sz w:val="28"/>
          <w:szCs w:val="28"/>
          <w:lang w:val="ru-RU"/>
        </w:rPr>
        <w:t>:</w:t>
      </w:r>
      <w:r>
        <w:rPr>
          <w:lang w:val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ru-RU"/>
        </w:rPr>
        <w:t>в 2025 году – 16,7 км дорог</w:t>
      </w:r>
      <w:r>
        <w:rPr>
          <w:lang w:val="ru-RU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ru-RU"/>
        </w:rPr>
        <w:t>в 2026 году – 1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2 км дорог, в 2027 году – 15,5 км дорог. 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В рамках муниципальных контрактов по содержанию улично-дорожной сети города в 2024 году планируется выполнить 165 </w:t>
      </w:r>
      <w:proofErr w:type="spellStart"/>
      <w:r>
        <w:rPr>
          <w:rFonts w:ascii="Times New Roman" w:eastAsia="Calibri" w:hAnsi="Times New Roman"/>
          <w:sz w:val="28"/>
          <w:szCs w:val="28"/>
          <w:lang w:val="ru-RU"/>
        </w:rPr>
        <w:t>тыс.</w:t>
      </w:r>
      <w:proofErr w:type="gramStart"/>
      <w:r>
        <w:rPr>
          <w:rFonts w:ascii="Times New Roman" w:eastAsia="Calibri" w:hAnsi="Times New Roman"/>
          <w:sz w:val="28"/>
          <w:szCs w:val="28"/>
          <w:lang w:val="ru-RU"/>
        </w:rPr>
        <w:t>кв.м</w:t>
      </w:r>
      <w:proofErr w:type="spellEnd"/>
      <w:proofErr w:type="gramEnd"/>
      <w:r>
        <w:rPr>
          <w:rFonts w:ascii="Times New Roman" w:eastAsia="Calibri" w:hAnsi="Times New Roman"/>
          <w:sz w:val="28"/>
          <w:szCs w:val="28"/>
          <w:lang w:val="ru-RU"/>
        </w:rPr>
        <w:t xml:space="preserve"> ямочного и карточного ремонта с целью устранения деформаций и разрушений покрытий автомобил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ьных дорог и обеспечения безопасности дорожного движения. По состоянию на октябрь 2024 года выполнено 151 </w:t>
      </w:r>
      <w:proofErr w:type="spellStart"/>
      <w:r>
        <w:rPr>
          <w:rFonts w:ascii="Times New Roman" w:eastAsia="Calibri" w:hAnsi="Times New Roman"/>
          <w:sz w:val="28"/>
          <w:szCs w:val="28"/>
          <w:lang w:val="ru-RU"/>
        </w:rPr>
        <w:t>тыс.кв.м</w:t>
      </w:r>
      <w:proofErr w:type="spellEnd"/>
      <w:r>
        <w:rPr>
          <w:rFonts w:ascii="Times New Roman" w:eastAsia="Calibri" w:hAnsi="Times New Roman"/>
          <w:sz w:val="28"/>
          <w:szCs w:val="28"/>
          <w:lang w:val="ru-RU"/>
        </w:rPr>
        <w:t xml:space="preserve">. 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С 2022 года в Нижнем Новгороде реализуется программа «Мосты и путепроводы» в рамках нацпроекта «Безопасные качественные дороги». </w:t>
      </w:r>
      <w:r>
        <w:rPr>
          <w:rFonts w:ascii="Times New Roman" w:hAnsi="Times New Roman"/>
          <w:sz w:val="28"/>
          <w:szCs w:val="28"/>
          <w:lang w:val="ru-RU"/>
        </w:rPr>
        <w:t>В 2024 год</w:t>
      </w:r>
      <w:r>
        <w:rPr>
          <w:rFonts w:ascii="Times New Roman" w:hAnsi="Times New Roman"/>
          <w:sz w:val="28"/>
          <w:szCs w:val="28"/>
          <w:lang w:val="ru-RU"/>
        </w:rPr>
        <w:t xml:space="preserve">у завершатся работы по капитальному ремонту путепровода на 4 км Московского шоссе, протяженностью 72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пог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м. 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До 2026 года планируется выполнить капитальный ремонт путепровода 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Мызинского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моста, протяженностью 83,1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пог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м. 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Также в программу включены: рем</w:t>
      </w:r>
      <w:r>
        <w:rPr>
          <w:rFonts w:ascii="Times New Roman" w:hAnsi="Times New Roman"/>
          <w:sz w:val="28"/>
          <w:szCs w:val="28"/>
          <w:lang w:val="ru-RU"/>
        </w:rPr>
        <w:t xml:space="preserve">онт путепровода 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ул.Новикова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Прибоя через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пр.Ленина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 ремонт путепровода по Московскому шоссе у кинотеатра «Москва». Выполнение данных работ позволит улучшить эксплуатационные характеристики объектов (уширение проезжей части), увеличит долговечность соору</w:t>
      </w:r>
      <w:r>
        <w:rPr>
          <w:rFonts w:ascii="Times New Roman" w:hAnsi="Times New Roman"/>
          <w:sz w:val="28"/>
          <w:szCs w:val="28"/>
          <w:lang w:val="ru-RU"/>
        </w:rPr>
        <w:t>жений и внешний вид объектов.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Основные направления развития улично-дорожной сети г. </w:t>
      </w:r>
      <w:proofErr w:type="spellStart"/>
      <w:r>
        <w:rPr>
          <w:rFonts w:ascii="Times New Roman" w:eastAsia="Calibri" w:hAnsi="Times New Roman"/>
          <w:sz w:val="28"/>
          <w:szCs w:val="28"/>
          <w:lang w:val="ru-RU"/>
        </w:rPr>
        <w:t>Н.Новгорода</w:t>
      </w:r>
      <w:proofErr w:type="spellEnd"/>
      <w:r>
        <w:rPr>
          <w:rFonts w:ascii="Times New Roman" w:eastAsia="Calibri" w:hAnsi="Times New Roman"/>
          <w:sz w:val="28"/>
          <w:szCs w:val="28"/>
          <w:lang w:val="ru-RU"/>
        </w:rPr>
        <w:t xml:space="preserve"> и мероприятия по повышению пропускной способности определены К</w:t>
      </w:r>
      <w:r>
        <w:rPr>
          <w:rFonts w:ascii="Times New Roman" w:eastAsia="Calibri" w:hAnsi="Times New Roman"/>
          <w:sz w:val="28"/>
          <w:lang w:val="ru-RU"/>
        </w:rPr>
        <w:t>омплексной схемой организации дорожного движения (КСОДД) и Программой комплексного развития трансп</w:t>
      </w:r>
      <w:r>
        <w:rPr>
          <w:rFonts w:ascii="Times New Roman" w:eastAsia="Calibri" w:hAnsi="Times New Roman"/>
          <w:sz w:val="28"/>
          <w:lang w:val="ru-RU"/>
        </w:rPr>
        <w:t xml:space="preserve">ортной инфраструктуры муниципального образования город Нижний Новгород на 2019-2030 годы (ПКРТИ). </w:t>
      </w:r>
      <w:r>
        <w:rPr>
          <w:rFonts w:ascii="Times New Roman" w:eastAsia="Calibri" w:hAnsi="Times New Roman"/>
          <w:sz w:val="28"/>
          <w:szCs w:val="28"/>
          <w:lang w:val="ru-RU"/>
        </w:rPr>
        <w:t>Предусмотрены как первоочередные мероприятия градостроительного характера, так и перспективные предложения по реконструкции автомобильных дорог в целях повыше</w:t>
      </w:r>
      <w:r>
        <w:rPr>
          <w:rFonts w:ascii="Times New Roman" w:eastAsia="Calibri" w:hAnsi="Times New Roman"/>
          <w:sz w:val="28"/>
          <w:szCs w:val="28"/>
          <w:lang w:val="ru-RU"/>
        </w:rPr>
        <w:t>ния их безопасности и пропускной способности.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>При поддержке областного и федерального бюджетов ведутся работы по реализации следующих мероприятий, предусмотренных программой ПКРТИ: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подъездных путей к объектам новой жилой и деловой застройки (</w:t>
      </w:r>
      <w:r>
        <w:rPr>
          <w:sz w:val="28"/>
          <w:szCs w:val="28"/>
        </w:rPr>
        <w:t>ЖК «</w:t>
      </w:r>
      <w:proofErr w:type="spellStart"/>
      <w:r>
        <w:rPr>
          <w:sz w:val="28"/>
          <w:szCs w:val="28"/>
        </w:rPr>
        <w:t>Анкудиновский</w:t>
      </w:r>
      <w:proofErr w:type="spellEnd"/>
      <w:r>
        <w:rPr>
          <w:sz w:val="28"/>
          <w:szCs w:val="28"/>
        </w:rPr>
        <w:t xml:space="preserve"> парк», ЖК «Новая Кузнечиха») – срок окончания 2024 год;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 дублера пр. Гагарина (1,2,3,4 очереди). </w:t>
      </w:r>
      <w:r>
        <w:rPr>
          <w:sz w:val="28"/>
          <w:szCs w:val="28"/>
        </w:rPr>
        <w:t>Срок окончания - до 2030 года;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дублер пр. Ленина. Срок окончания -</w:t>
      </w:r>
      <w:r>
        <w:rPr>
          <w:sz w:val="28"/>
          <w:szCs w:val="28"/>
        </w:rPr>
        <w:t xml:space="preserve"> до 2030 года.</w:t>
      </w:r>
    </w:p>
    <w:p w:rsidR="00832A05" w:rsidRDefault="00311484">
      <w:pPr>
        <w:ind w:firstLine="709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 xml:space="preserve">В рамках </w:t>
      </w:r>
      <w:proofErr w:type="spellStart"/>
      <w:r>
        <w:rPr>
          <w:color w:val="000000" w:themeColor="text1"/>
          <w:sz w:val="28"/>
          <w:szCs w:val="28"/>
        </w:rPr>
        <w:t>редевелопмента</w:t>
      </w:r>
      <w:proofErr w:type="spellEnd"/>
      <w:r>
        <w:rPr>
          <w:color w:val="000000" w:themeColor="text1"/>
          <w:sz w:val="28"/>
          <w:szCs w:val="28"/>
        </w:rPr>
        <w:t xml:space="preserve"> исторического центра Ни</w:t>
      </w:r>
      <w:r>
        <w:rPr>
          <w:color w:val="000000" w:themeColor="text1"/>
          <w:sz w:val="28"/>
          <w:szCs w:val="28"/>
        </w:rPr>
        <w:t>жнего Новгорода продолжается реализация проекта восстановления и развития исторической территории - район «</w:t>
      </w:r>
      <w:proofErr w:type="spellStart"/>
      <w:r>
        <w:rPr>
          <w:color w:val="000000" w:themeColor="text1"/>
          <w:sz w:val="28"/>
          <w:szCs w:val="28"/>
        </w:rPr>
        <w:t>Започаинье</w:t>
      </w:r>
      <w:proofErr w:type="spellEnd"/>
      <w:r>
        <w:rPr>
          <w:color w:val="000000" w:themeColor="text1"/>
          <w:sz w:val="28"/>
          <w:szCs w:val="28"/>
        </w:rPr>
        <w:t>». Проект предусматривает комплексное развитие территории, направленное на восстановление исторической среды и вовлечение ее в активную жиз</w:t>
      </w:r>
      <w:r>
        <w:rPr>
          <w:color w:val="000000" w:themeColor="text1"/>
          <w:sz w:val="28"/>
          <w:szCs w:val="28"/>
        </w:rPr>
        <w:t>нь города.</w:t>
      </w:r>
    </w:p>
    <w:p w:rsidR="00832A05" w:rsidRDefault="00311484">
      <w:pPr>
        <w:ind w:firstLine="709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>В рамках муниципального контракта по реконструкции ул. Обозная, ул. Гоголя, ул. Сергиевская, ул. Маслякова запланировано поэтапное, в течение нескольких лет, проведение комплексных работ. Планируемый срок завершения работ -  2026 год. В качестве</w:t>
      </w:r>
      <w:r>
        <w:rPr>
          <w:color w:val="000000" w:themeColor="text1"/>
          <w:sz w:val="28"/>
          <w:szCs w:val="28"/>
        </w:rPr>
        <w:t xml:space="preserve"> дополнительного источника финансирования были привлечены средства инфраструктурного бюджетного кредита. </w:t>
      </w:r>
    </w:p>
    <w:p w:rsidR="00832A05" w:rsidRDefault="00311484">
      <w:pPr>
        <w:ind w:firstLine="709"/>
        <w:jc w:val="both"/>
      </w:pPr>
      <w:r>
        <w:rPr>
          <w:sz w:val="28"/>
          <w:szCs w:val="28"/>
        </w:rPr>
        <w:t>В настоящее время ведутся работы на объекте: «Ул. Сергиевская от ул. Гоголя до ул. Добролюбова»: проводится прокладка и перекл</w:t>
      </w:r>
      <w:r>
        <w:rPr>
          <w:sz w:val="28"/>
          <w:szCs w:val="28"/>
        </w:rPr>
        <w:t>ючение сетей связи, ведутся работы по переустройству наружной канализации колодцев.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рамках муниципального контракта по реконструкции </w:t>
      </w:r>
      <w:r>
        <w:rPr>
          <w:sz w:val="28"/>
          <w:szCs w:val="28"/>
        </w:rPr>
        <w:t>ул. Ильинская и пер. Плотничный з</w:t>
      </w:r>
      <w:r>
        <w:rPr>
          <w:color w:val="000000" w:themeColor="text1"/>
          <w:sz w:val="28"/>
          <w:szCs w:val="28"/>
        </w:rPr>
        <w:t>апланировано проведение комплексных работ.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Планируемый срок завершения работ - 2026 год.</w:t>
      </w:r>
      <w:r>
        <w:rPr>
          <w:sz w:val="28"/>
          <w:szCs w:val="28"/>
        </w:rPr>
        <w:t xml:space="preserve"> Мероприятия по реконструкции также финансируются с привлечением средств инфраструктурного бюджетного кредита.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повышения производительности и качества выполнения работ по содержанию улично-дорожной сети города, администрацией города продолжается ра</w:t>
      </w:r>
      <w:r>
        <w:rPr>
          <w:sz w:val="28"/>
          <w:szCs w:val="28"/>
        </w:rPr>
        <w:t xml:space="preserve">бота по обновлению парка техники. В текущем году закуплено 20 единиц малогабаритной специализированной дорожной техники, а именно фронтальных погрузчиков МИТРАКС МП-635 (с навесным оборудованием). </w:t>
      </w:r>
    </w:p>
    <w:p w:rsidR="00832A05" w:rsidRDefault="003114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Городской пассажирский транспорт</w:t>
      </w:r>
    </w:p>
    <w:p w:rsidR="00832A05" w:rsidRDefault="00311484">
      <w:pPr>
        <w:pStyle w:val="affff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в на</w:t>
      </w:r>
      <w:r>
        <w:rPr>
          <w:sz w:val="28"/>
          <w:szCs w:val="28"/>
        </w:rPr>
        <w:t>стоящее время внутригородские пассажирские перевозки осуществляются автотранспортом, наземным электрическим транспортом, метро.</w:t>
      </w:r>
    </w:p>
    <w:p w:rsidR="00832A05" w:rsidRDefault="00311484">
      <w:pPr>
        <w:pStyle w:val="affff7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За 6 месяцев текущего года общественным транспортом перевезено 108 млн. чел. (автобусами – 81,6 </w:t>
      </w:r>
      <w:proofErr w:type="spellStart"/>
      <w:r>
        <w:rPr>
          <w:sz w:val="28"/>
          <w:szCs w:val="28"/>
        </w:rPr>
        <w:t>млн.чел</w:t>
      </w:r>
      <w:proofErr w:type="spellEnd"/>
      <w:r>
        <w:rPr>
          <w:sz w:val="28"/>
          <w:szCs w:val="28"/>
        </w:rPr>
        <w:t xml:space="preserve">., трамваями – 8,5 </w:t>
      </w:r>
      <w:proofErr w:type="spellStart"/>
      <w:r>
        <w:rPr>
          <w:sz w:val="28"/>
          <w:szCs w:val="28"/>
        </w:rPr>
        <w:t>млн.че</w:t>
      </w:r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., троллейбусами - 1 млн. чел., метро – 17,1 </w:t>
      </w:r>
      <w:proofErr w:type="spellStart"/>
      <w:r>
        <w:rPr>
          <w:sz w:val="28"/>
          <w:szCs w:val="28"/>
        </w:rPr>
        <w:t>млн.чел</w:t>
      </w:r>
      <w:proofErr w:type="spellEnd"/>
      <w:r>
        <w:rPr>
          <w:sz w:val="28"/>
          <w:szCs w:val="28"/>
        </w:rPr>
        <w:t>.)</w:t>
      </w:r>
    </w:p>
    <w:p w:rsidR="00832A05" w:rsidRDefault="00311484">
      <w:pPr>
        <w:pStyle w:val="affff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МП «Нижегородское метро» планируется перевезти около 34 млн. пассажиров.</w:t>
      </w:r>
    </w:p>
    <w:p w:rsidR="00832A05" w:rsidRDefault="00311484">
      <w:pPr>
        <w:pStyle w:val="affff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повышения культуры обслуживания и безопасности продолжаются работы по устройству наземных крытых павильонов</w:t>
      </w:r>
      <w:r>
        <w:rPr>
          <w:sz w:val="28"/>
          <w:szCs w:val="28"/>
        </w:rPr>
        <w:t>, ремонт и оснащение сходов необходимым оборудованием на сходе №5, на сходе №7 станции «Двигатель Революции», на сходе №4 станции «Пролетарская».</w:t>
      </w:r>
    </w:p>
    <w:p w:rsidR="00832A05" w:rsidRDefault="00311484">
      <w:pPr>
        <w:pStyle w:val="affff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мероприятия по соблюдению обязательных требований по гражданской обороне, обеспечению транспортной б</w:t>
      </w:r>
      <w:r>
        <w:rPr>
          <w:sz w:val="28"/>
          <w:szCs w:val="28"/>
        </w:rPr>
        <w:t xml:space="preserve">езопасности и усиления антитеррористической защищенности. Приобретено необходимое оборудование: </w:t>
      </w:r>
      <w:proofErr w:type="spellStart"/>
      <w:r>
        <w:rPr>
          <w:sz w:val="28"/>
          <w:szCs w:val="28"/>
        </w:rPr>
        <w:t>двухпроекционные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рентгенотелевизионные</w:t>
      </w:r>
      <w:proofErr w:type="spellEnd"/>
      <w:r>
        <w:rPr>
          <w:sz w:val="28"/>
          <w:szCs w:val="28"/>
        </w:rPr>
        <w:t xml:space="preserve"> установки, ручные </w:t>
      </w:r>
      <w:proofErr w:type="spellStart"/>
      <w:r>
        <w:rPr>
          <w:sz w:val="28"/>
          <w:szCs w:val="28"/>
        </w:rPr>
        <w:t>металлодетекторы</w:t>
      </w:r>
      <w:proofErr w:type="spellEnd"/>
      <w:r>
        <w:rPr>
          <w:sz w:val="28"/>
          <w:szCs w:val="28"/>
        </w:rPr>
        <w:t>, аппаратура радиационного контроля, переносные постановщики заградительных радиопомех,</w:t>
      </w:r>
      <w:r>
        <w:rPr>
          <w:sz w:val="28"/>
          <w:szCs w:val="28"/>
        </w:rPr>
        <w:t xml:space="preserve"> арочные </w:t>
      </w:r>
      <w:proofErr w:type="spellStart"/>
      <w:r>
        <w:rPr>
          <w:sz w:val="28"/>
          <w:szCs w:val="28"/>
        </w:rPr>
        <w:t>металлодетекторы</w:t>
      </w:r>
      <w:proofErr w:type="spellEnd"/>
      <w:r>
        <w:rPr>
          <w:sz w:val="28"/>
          <w:szCs w:val="28"/>
        </w:rPr>
        <w:t xml:space="preserve">, фильтрующие элементы для защитного сооружения гражданской обороны. </w:t>
      </w:r>
    </w:p>
    <w:p w:rsidR="00832A05" w:rsidRDefault="00311484">
      <w:pPr>
        <w:pStyle w:val="afff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Выполнены мероприятия для обеспечения безопасности движения поездов и техническому развитию путевого комплекса: замена ходовых рельсов, шпал, </w:t>
      </w:r>
      <w:r>
        <w:rPr>
          <w:sz w:val="28"/>
          <w:szCs w:val="28"/>
        </w:rPr>
        <w:lastRenderedPageBreak/>
        <w:t>бетонирование опор.</w:t>
      </w:r>
      <w:r>
        <w:rPr>
          <w:sz w:val="28"/>
          <w:szCs w:val="28"/>
        </w:rPr>
        <w:t xml:space="preserve"> Разработана проектно-сметная документация на оснащение техническими средствами обеспечения транспортной безопасности объектов инфраструктуры метрополитена (2 этап) станции: Московская, Чкаловская, Ленинская, Заречная, Двигатель Революции, Пролетарская, Ав</w:t>
      </w:r>
      <w:r>
        <w:rPr>
          <w:sz w:val="28"/>
          <w:szCs w:val="28"/>
        </w:rPr>
        <w:t xml:space="preserve">тозаводская, Комсомольская, Кировская, Парк Культуры, </w:t>
      </w:r>
      <w:proofErr w:type="spellStart"/>
      <w:r>
        <w:rPr>
          <w:sz w:val="28"/>
          <w:szCs w:val="28"/>
        </w:rPr>
        <w:t>Канавинская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Бурнаковская</w:t>
      </w:r>
      <w:proofErr w:type="spellEnd"/>
      <w:r>
        <w:rPr>
          <w:sz w:val="28"/>
          <w:szCs w:val="28"/>
        </w:rPr>
        <w:t xml:space="preserve">, Буревестник и Горьковская. </w:t>
      </w:r>
    </w:p>
    <w:p w:rsidR="00832A05" w:rsidRDefault="00311484">
      <w:pPr>
        <w:pStyle w:val="afff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Продолжаются работы по проектированию и строительству метро по объектам «Продление Автозаводской линии метрополитена в г. Нижнем Новгороде от ст. «</w:t>
      </w:r>
      <w:r>
        <w:rPr>
          <w:sz w:val="28"/>
          <w:szCs w:val="28"/>
        </w:rPr>
        <w:t xml:space="preserve">Горьковская» до ст. «Сенная» и «Продление </w:t>
      </w:r>
      <w:proofErr w:type="spellStart"/>
      <w:r>
        <w:rPr>
          <w:sz w:val="28"/>
          <w:szCs w:val="28"/>
        </w:rPr>
        <w:t>Сормовской</w:t>
      </w:r>
      <w:proofErr w:type="spellEnd"/>
      <w:r>
        <w:rPr>
          <w:sz w:val="28"/>
          <w:szCs w:val="28"/>
        </w:rPr>
        <w:t xml:space="preserve"> линии метрополитена в г. Нижнем Новгороде от ст. «Буревестник» до ст. «Сормовская».</w:t>
      </w:r>
    </w:p>
    <w:p w:rsidR="00832A05" w:rsidRDefault="00311484">
      <w:pPr>
        <w:pStyle w:val="affff7"/>
        <w:numPr>
          <w:ilvl w:val="0"/>
          <w:numId w:val="12"/>
        </w:numPr>
        <w:spacing w:before="0" w:beforeAutospacing="0" w:after="0" w:afterAutospacing="0"/>
        <w:ind w:left="0" w:firstLine="709"/>
        <w:jc w:val="both"/>
      </w:pPr>
      <w:r>
        <w:rPr>
          <w:sz w:val="28"/>
          <w:szCs w:val="28"/>
        </w:rPr>
        <w:t xml:space="preserve">Продление </w:t>
      </w:r>
      <w:proofErr w:type="spellStart"/>
      <w:r>
        <w:rPr>
          <w:sz w:val="28"/>
          <w:szCs w:val="28"/>
        </w:rPr>
        <w:t>Сормовско</w:t>
      </w:r>
      <w:proofErr w:type="spellEnd"/>
      <w:r>
        <w:rPr>
          <w:sz w:val="28"/>
          <w:szCs w:val="28"/>
        </w:rPr>
        <w:t xml:space="preserve">-Мещерской линии метрополитена в г. Нижнем Новгороде от ст. «Буревестник» до ст. «Сормовская». Срок </w:t>
      </w:r>
      <w:r>
        <w:rPr>
          <w:sz w:val="28"/>
          <w:szCs w:val="28"/>
        </w:rPr>
        <w:t>окончания работ по контракту – 31 декабря 2026 года.</w:t>
      </w:r>
      <w:r>
        <w:rPr>
          <w:sz w:val="28"/>
          <w:szCs w:val="28"/>
          <w:shd w:val="clear" w:color="auto" w:fill="FFFFFF"/>
        </w:rPr>
        <w:t xml:space="preserve"> </w:t>
      </w:r>
    </w:p>
    <w:p w:rsidR="00832A05" w:rsidRDefault="00311484">
      <w:pPr>
        <w:pStyle w:val="affff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Продление Автозаводской линии метрополитена в г. Нижнем Новгороде от ст. «Горьковская» до ст. «Сенная». Срок окончания работ по контракту – 31 декабря 2025 года.</w:t>
      </w:r>
    </w:p>
    <w:p w:rsidR="00832A05" w:rsidRDefault="003114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</w:t>
      </w:r>
    </w:p>
    <w:p w:rsidR="00832A05" w:rsidRDefault="00311484">
      <w:pPr>
        <w:ind w:firstLine="709"/>
        <w:jc w:val="both"/>
        <w:rPr>
          <w:sz w:val="28"/>
        </w:rPr>
      </w:pPr>
      <w:r>
        <w:rPr>
          <w:sz w:val="28"/>
        </w:rPr>
        <w:t>В рамк</w:t>
      </w:r>
      <w:r>
        <w:rPr>
          <w:sz w:val="28"/>
        </w:rPr>
        <w:t xml:space="preserve">ах </w:t>
      </w:r>
      <w:r>
        <w:rPr>
          <w:rFonts w:eastAsia="Times New Roman"/>
          <w:sz w:val="28"/>
          <w:szCs w:val="28"/>
          <w:lang w:eastAsia="ar-SA"/>
        </w:rPr>
        <w:t>реализации федерального проекта «Общесистемные меры развития дорожного хозяйства»</w:t>
      </w:r>
      <w:r>
        <w:rPr>
          <w:sz w:val="28"/>
          <w:szCs w:val="28"/>
          <w:lang w:eastAsia="ar-SA"/>
        </w:rPr>
        <w:t xml:space="preserve"> продолжается </w:t>
      </w:r>
      <w:r>
        <w:rPr>
          <w:sz w:val="28"/>
        </w:rPr>
        <w:t xml:space="preserve">внедрение (модернизация) интеллектуальной транспортной системы в городе Нижнем Новгороде путем модернизации светофорных объектов с прокладкой кабельных линий </w:t>
      </w:r>
      <w:r>
        <w:rPr>
          <w:sz w:val="28"/>
        </w:rPr>
        <w:t>в подземном исполнении с резервированием при этом канала для подключения элементов ИТС.</w:t>
      </w:r>
    </w:p>
    <w:p w:rsidR="00832A05" w:rsidRDefault="00311484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В 2024 году планируется модернизировать 29 светофорных объектов на пр. Гагарина, пр. Ленина, Молодежном пр., ул. Самаркандской, ул. Керченской и ул. </w:t>
      </w:r>
      <w:proofErr w:type="spellStart"/>
      <w:r>
        <w:rPr>
          <w:sz w:val="28"/>
          <w:szCs w:val="28"/>
        </w:rPr>
        <w:t>Барминской</w:t>
      </w:r>
      <w:proofErr w:type="spellEnd"/>
      <w:r>
        <w:rPr>
          <w:sz w:val="28"/>
          <w:szCs w:val="28"/>
        </w:rPr>
        <w:t xml:space="preserve"> в рамках</w:t>
      </w:r>
      <w:r>
        <w:rPr>
          <w:sz w:val="28"/>
          <w:szCs w:val="28"/>
        </w:rPr>
        <w:t xml:space="preserve"> внедрения ИТС</w:t>
      </w:r>
      <w:r>
        <w:rPr>
          <w:sz w:val="28"/>
        </w:rPr>
        <w:t xml:space="preserve">. </w:t>
      </w:r>
    </w:p>
    <w:p w:rsidR="00832A05" w:rsidRDefault="00311484">
      <w:pPr>
        <w:ind w:firstLine="709"/>
        <w:jc w:val="both"/>
        <w:rPr>
          <w:sz w:val="28"/>
        </w:rPr>
      </w:pPr>
      <w:r>
        <w:rPr>
          <w:sz w:val="28"/>
        </w:rPr>
        <w:t xml:space="preserve">Заключено два договора на разработку проектно-сметной документации по модернизации 4 светофорных объектов на ул. Ижорской с перспективой их модернизации в 2024 году. </w:t>
      </w:r>
    </w:p>
    <w:p w:rsidR="00832A05" w:rsidRDefault="00311484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настоящее время согласован перечень светофорных объектов, которые план</w:t>
      </w:r>
      <w:r>
        <w:rPr>
          <w:sz w:val="28"/>
          <w:szCs w:val="28"/>
        </w:rPr>
        <w:t>ируется модернизировать в 2025-2027 гг. В 2024-2025 гг. планируется разработка проектно-сметной документации по модернизации 35 светофорных объектов на Московском шоссе, ул. Ванеева, ул. Бекетова и ул. Академика Сахарова, реализация запланирована на 2025-2</w:t>
      </w:r>
      <w:r>
        <w:rPr>
          <w:sz w:val="28"/>
          <w:szCs w:val="28"/>
        </w:rPr>
        <w:t xml:space="preserve">026 годы.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на территории города Нижнего Новгорода оборудовано 518 светофорных объектов, из них 218 светофорных объектов были оснащены 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  <w:lang w:val="en-US"/>
        </w:rPr>
        <w:t>G</w:t>
      </w:r>
      <w:r>
        <w:rPr>
          <w:rFonts w:eastAsia="Times New Roman"/>
          <w:sz w:val="28"/>
          <w:szCs w:val="28"/>
        </w:rPr>
        <w:t>-терминал</w:t>
      </w:r>
      <w:r>
        <w:rPr>
          <w:sz w:val="28"/>
          <w:szCs w:val="28"/>
        </w:rPr>
        <w:t xml:space="preserve">ами для управления </w:t>
      </w:r>
      <w:r>
        <w:rPr>
          <w:rFonts w:eastAsia="Times New Roman"/>
          <w:sz w:val="28"/>
          <w:szCs w:val="28"/>
        </w:rPr>
        <w:t xml:space="preserve">по каналам связи </w:t>
      </w:r>
      <w:r>
        <w:rPr>
          <w:rFonts w:eastAsia="Times New Roman"/>
          <w:sz w:val="28"/>
          <w:szCs w:val="28"/>
          <w:lang w:val="en-US"/>
        </w:rPr>
        <w:t>GSM</w:t>
      </w:r>
      <w:r>
        <w:rPr>
          <w:sz w:val="28"/>
          <w:szCs w:val="28"/>
        </w:rPr>
        <w:t xml:space="preserve"> с возможностью введения их в систему координации.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итогам анализа аварийности в 2023 году выявлено 68 мест концентрации дорожно-транспортных происшествий, разработаны первоочередные и перспективные мероприятия, направленные на их устранение в 2024-2026 гг. </w:t>
      </w:r>
    </w:p>
    <w:p w:rsidR="00832A05" w:rsidRDefault="00311484">
      <w:pPr>
        <w:ind w:firstLine="709"/>
        <w:jc w:val="both"/>
      </w:pPr>
      <w:r>
        <w:rPr>
          <w:sz w:val="28"/>
          <w:szCs w:val="28"/>
        </w:rPr>
        <w:t>Почтовая связь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услуги почтовой связи представляет УФПС Нижегородской области филиала АО «Почта России».</w:t>
      </w:r>
      <w:r>
        <w:rPr>
          <w:sz w:val="28"/>
          <w:szCs w:val="28"/>
        </w:rPr>
        <w:t xml:space="preserve"> Основные задачи предприятия в прогнозном периоде: развитие сегмента почтово-логистических и </w:t>
      </w:r>
      <w:r>
        <w:rPr>
          <w:sz w:val="28"/>
          <w:szCs w:val="28"/>
        </w:rPr>
        <w:lastRenderedPageBreak/>
        <w:t xml:space="preserve">социально-значимых услуг, а также </w:t>
      </w:r>
      <w:proofErr w:type="spellStart"/>
      <w:r>
        <w:rPr>
          <w:sz w:val="28"/>
          <w:szCs w:val="28"/>
        </w:rPr>
        <w:t>клиентоориентированн</w:t>
      </w:r>
      <w:r>
        <w:rPr>
          <w:sz w:val="28"/>
          <w:szCs w:val="28"/>
        </w:rPr>
        <w:t>ости</w:t>
      </w:r>
      <w:proofErr w:type="spellEnd"/>
      <w:r>
        <w:rPr>
          <w:sz w:val="28"/>
          <w:szCs w:val="28"/>
        </w:rPr>
        <w:t xml:space="preserve"> и цифровизации компании.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задач развития позволит УФПС Нижегородской области: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оказывать социально-значимые услуги;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снижать издержки граждан и бизнеса и повышать качество услуг через обеспечение юридически значимых коммуникаций в цифровой ср</w:t>
      </w:r>
      <w:r>
        <w:rPr>
          <w:sz w:val="28"/>
          <w:szCs w:val="28"/>
        </w:rPr>
        <w:t>еде и в гибридном формате;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создать адекватную росту электронной коммерции логистическую инфраструктуру и набор сопутствующих сервисов для всех участников рынка электронной коммерции в целях развития торговли, производства и экспортного потенциала;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</w:t>
      </w:r>
      <w:r>
        <w:rPr>
          <w:sz w:val="28"/>
          <w:szCs w:val="28"/>
        </w:rPr>
        <w:t>вить всем слоям населения базовые финансовые услуги в шаговой доступности;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повысить доступность качественных и недорогих товаров народного потребления, создав крупнейшую в стране розничную сеть ультрамалого формата;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proofErr w:type="spellStart"/>
      <w:r>
        <w:rPr>
          <w:sz w:val="28"/>
          <w:szCs w:val="28"/>
        </w:rPr>
        <w:t>цифровизацию</w:t>
      </w:r>
      <w:proofErr w:type="spellEnd"/>
      <w:r>
        <w:rPr>
          <w:sz w:val="28"/>
          <w:szCs w:val="28"/>
        </w:rPr>
        <w:t xml:space="preserve"> почтовых услуг, </w:t>
      </w:r>
      <w:r>
        <w:rPr>
          <w:sz w:val="28"/>
          <w:szCs w:val="28"/>
        </w:rPr>
        <w:t>стать частью новой системы передачи юридически значимых коммуникаций в цифровом формате и сохранить целостность системы юридически значимого документооборота.</w:t>
      </w:r>
    </w:p>
    <w:p w:rsidR="00832A05" w:rsidRDefault="00832A05">
      <w:pPr>
        <w:pStyle w:val="ConsPlu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32A05" w:rsidRDefault="0031148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в области информатизации и связи</w:t>
      </w:r>
    </w:p>
    <w:p w:rsidR="00832A05" w:rsidRDefault="00832A05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информационно-коммуникационных технологий –</w:t>
      </w:r>
      <w:r>
        <w:rPr>
          <w:rFonts w:ascii="Times New Roman" w:hAnsi="Times New Roman" w:cs="Times New Roman"/>
          <w:sz w:val="28"/>
          <w:szCs w:val="28"/>
        </w:rPr>
        <w:t xml:space="preserve"> одна из самых инновационных и динамичных, которая способствует экономическому росту, повышению производительности труда, снижению затрат, появлению новых видов экономической деятельности и улучшению качества жизни.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тенденциями развития данной сф</w:t>
      </w:r>
      <w:r>
        <w:rPr>
          <w:rFonts w:ascii="Times New Roman" w:hAnsi="Times New Roman" w:cs="Times New Roman"/>
          <w:sz w:val="28"/>
          <w:szCs w:val="28"/>
        </w:rPr>
        <w:t>еры является постоянное совершенствование цифровых технологий и инновационных услуг, рост информатизации и технологической образованности общества, повышение качества и удобства связи, появление социальных электронных порталов, доступность различных форм м</w:t>
      </w:r>
      <w:r>
        <w:rPr>
          <w:rFonts w:ascii="Times New Roman" w:hAnsi="Times New Roman" w:cs="Times New Roman"/>
          <w:sz w:val="28"/>
          <w:szCs w:val="28"/>
        </w:rPr>
        <w:t>ультимедийного контента.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сдерживающими факторами развития отрасли в настоящее время являются:</w:t>
      </w:r>
    </w:p>
    <w:p w:rsidR="00832A05" w:rsidRDefault="00311484">
      <w:pPr>
        <w:pStyle w:val="312"/>
        <w:spacing w:line="240" w:lineRule="auto"/>
        <w:ind w:right="-1" w:firstLine="720"/>
        <w:rPr>
          <w:sz w:val="28"/>
          <w:szCs w:val="28"/>
        </w:rPr>
      </w:pPr>
      <w:r>
        <w:rPr>
          <w:sz w:val="28"/>
          <w:szCs w:val="28"/>
        </w:rPr>
        <w:t xml:space="preserve">несовместимость используемого прикладного программного обеспечения с отечественным системным программным обеспечением; </w:t>
      </w:r>
    </w:p>
    <w:p w:rsidR="00832A05" w:rsidRDefault="00311484">
      <w:pPr>
        <w:pStyle w:val="312"/>
        <w:spacing w:line="240" w:lineRule="auto"/>
        <w:ind w:right="-1" w:firstLine="720"/>
        <w:rPr>
          <w:sz w:val="28"/>
          <w:szCs w:val="28"/>
        </w:rPr>
      </w:pPr>
      <w:r>
        <w:rPr>
          <w:sz w:val="28"/>
          <w:szCs w:val="28"/>
        </w:rPr>
        <w:t>растущие угрозы и требования к и</w:t>
      </w:r>
      <w:r>
        <w:rPr>
          <w:sz w:val="28"/>
          <w:szCs w:val="28"/>
        </w:rPr>
        <w:t>нформационной безопасности, требующие многоуровневой защиты, и необходимость применения постоянно совершенствующихся решений и сервисов в сфере информационной безопасности;</w:t>
      </w:r>
    </w:p>
    <w:p w:rsidR="00832A05" w:rsidRDefault="00311484">
      <w:pPr>
        <w:pStyle w:val="312"/>
        <w:spacing w:line="240" w:lineRule="auto"/>
        <w:ind w:right="-1" w:firstLine="720"/>
        <w:rPr>
          <w:sz w:val="28"/>
          <w:szCs w:val="28"/>
        </w:rPr>
      </w:pPr>
      <w:r>
        <w:rPr>
          <w:sz w:val="28"/>
          <w:szCs w:val="28"/>
        </w:rPr>
        <w:t>рост затрат на ИТ-услуги, программное обеспечение и вычислительную технику.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</w:t>
      </w:r>
      <w:r>
        <w:rPr>
          <w:rFonts w:ascii="Times New Roman" w:hAnsi="Times New Roman" w:cs="Times New Roman"/>
          <w:sz w:val="28"/>
          <w:szCs w:val="28"/>
        </w:rPr>
        <w:t>альная политика в сфере информатизации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целями муниципальной политики в сфере информатизации являются увеличение объема электронных сервисов для граждан, которые предусматривают применение новых информационно-коммуникационных технологий, автоматиз</w:t>
      </w:r>
      <w:r>
        <w:rPr>
          <w:rFonts w:ascii="Times New Roman" w:hAnsi="Times New Roman" w:cs="Times New Roman"/>
          <w:sz w:val="28"/>
          <w:szCs w:val="28"/>
        </w:rPr>
        <w:t xml:space="preserve">ацию административных процессов и переход к цифровому моделированию, а также повышение уровня информированности граждан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органов местного самоуправления.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8 месяцев 2024 года: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населению оказано 797 тыс. муниципальных услуг в электронном ви</w:t>
      </w:r>
      <w:r>
        <w:rPr>
          <w:rFonts w:ascii="Times New Roman" w:hAnsi="Times New Roman" w:cs="Times New Roman"/>
          <w:sz w:val="28"/>
          <w:szCs w:val="28"/>
        </w:rPr>
        <w:t>де. К 2027 году планируется увеличение доли муниципальных услуг и сервисов, которые предоставляются в электронной форме без необходимости личного посещения муниципального органа, до 50%;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уникальных посетителей сайта администрации города Нижнего </w:t>
      </w:r>
      <w:r>
        <w:rPr>
          <w:rFonts w:ascii="Times New Roman" w:hAnsi="Times New Roman" w:cs="Times New Roman"/>
          <w:sz w:val="28"/>
          <w:szCs w:val="28"/>
        </w:rPr>
        <w:t>Новгорода достигло 719,4 тыс. чел.;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просмотров сайта администрации города составило 2,3 млн.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были реализованы следующие мероприятия: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развитие платформы информационных систем и ресурсов администрации города (платформа «Лобачевский») в части аналитики данных и объединение с сопутствующими сервисами в экосистему «Лобачевский». Разработаны и введены в эксплуатацию порядка 30 </w:t>
      </w:r>
      <w:proofErr w:type="spellStart"/>
      <w:r>
        <w:rPr>
          <w:rFonts w:eastAsia="Times New Roman"/>
          <w:sz w:val="28"/>
          <w:szCs w:val="28"/>
        </w:rPr>
        <w:t>дэшбордов</w:t>
      </w:r>
      <w:proofErr w:type="spellEnd"/>
      <w:r>
        <w:rPr>
          <w:rFonts w:eastAsia="Times New Roman"/>
          <w:sz w:val="28"/>
          <w:szCs w:val="28"/>
        </w:rPr>
        <w:t xml:space="preserve"> и </w:t>
      </w:r>
      <w:proofErr w:type="spellStart"/>
      <w:r>
        <w:rPr>
          <w:rFonts w:eastAsia="Times New Roman"/>
          <w:sz w:val="28"/>
          <w:szCs w:val="28"/>
        </w:rPr>
        <w:t>вид</w:t>
      </w:r>
      <w:r>
        <w:rPr>
          <w:rFonts w:eastAsia="Times New Roman"/>
          <w:sz w:val="28"/>
          <w:szCs w:val="28"/>
        </w:rPr>
        <w:t>жетов</w:t>
      </w:r>
      <w:proofErr w:type="spellEnd"/>
      <w:r>
        <w:rPr>
          <w:rFonts w:eastAsia="Times New Roman"/>
          <w:sz w:val="28"/>
          <w:szCs w:val="28"/>
        </w:rPr>
        <w:t>, аккумулирующих данных из информационных систем администрации города Нижнего Новгорода и внешних ресурсов. Благодаря объединению платформы и сопутствующих сервисов (в частности, поглощение автоматизированной информационной системы «Прием, диспетчериз</w:t>
      </w:r>
      <w:r>
        <w:rPr>
          <w:rFonts w:eastAsia="Times New Roman"/>
          <w:sz w:val="28"/>
          <w:szCs w:val="28"/>
        </w:rPr>
        <w:t>ация и контроль исполнения заявок жителей в сфере ЖКХ города Нижнего Новгорода») в единую экосистему «Лобачевский» достигнута более быстрая и качественная обработке данных и анализ для решения ряда задач администрации города, в частности, повышение количес</w:t>
      </w:r>
      <w:r>
        <w:rPr>
          <w:rFonts w:eastAsia="Times New Roman"/>
          <w:sz w:val="28"/>
          <w:szCs w:val="28"/>
        </w:rPr>
        <w:t>тва отработанных сообщений граждан и сокращение среднего времени ответа на них до 13 часов;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развитие мобильного приложения VK </w:t>
      </w:r>
      <w:proofErr w:type="spellStart"/>
      <w:r>
        <w:rPr>
          <w:rFonts w:eastAsia="Times New Roman"/>
          <w:sz w:val="28"/>
          <w:szCs w:val="28"/>
        </w:rPr>
        <w:t>Mini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Apps</w:t>
      </w:r>
      <w:proofErr w:type="spellEnd"/>
      <w:r>
        <w:rPr>
          <w:rFonts w:eastAsia="Times New Roman"/>
          <w:sz w:val="28"/>
          <w:szCs w:val="28"/>
        </w:rPr>
        <w:t xml:space="preserve"> «Мой Нижний Новгород»: создание новых сервисов «День в истории города», «Городские </w:t>
      </w:r>
      <w:proofErr w:type="spellStart"/>
      <w:r>
        <w:rPr>
          <w:rFonts w:eastAsia="Times New Roman"/>
          <w:sz w:val="28"/>
          <w:szCs w:val="28"/>
        </w:rPr>
        <w:t>челленджи</w:t>
      </w:r>
      <w:proofErr w:type="spellEnd"/>
      <w:r>
        <w:rPr>
          <w:rFonts w:eastAsia="Times New Roman"/>
          <w:sz w:val="28"/>
          <w:szCs w:val="28"/>
        </w:rPr>
        <w:t>», «Мой питомец», «Ярмарки г</w:t>
      </w:r>
      <w:r>
        <w:rPr>
          <w:rFonts w:eastAsia="Times New Roman"/>
          <w:sz w:val="28"/>
          <w:szCs w:val="28"/>
        </w:rPr>
        <w:t xml:space="preserve">орода», модулей «Общение с городом» (модуль обратной связи граждан) и «Мой дом» (персонализированная информация о ЖКХ города). Количество пользователей мобильного приложения </w:t>
      </w:r>
      <w:r>
        <w:rPr>
          <w:sz w:val="28"/>
          <w:szCs w:val="28"/>
        </w:rPr>
        <w:t xml:space="preserve">VK </w:t>
      </w:r>
      <w:proofErr w:type="spellStart"/>
      <w:r>
        <w:rPr>
          <w:sz w:val="28"/>
          <w:szCs w:val="28"/>
        </w:rPr>
        <w:t>Mini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Apps</w:t>
      </w:r>
      <w:proofErr w:type="spellEnd"/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«Мой Нижний Новг</w:t>
      </w:r>
      <w:r>
        <w:rPr>
          <w:rFonts w:eastAsia="Times New Roman"/>
          <w:sz w:val="28"/>
          <w:szCs w:val="28"/>
        </w:rPr>
        <w:t>ород» по состоянию на конец августа 2024 года достигло более 25 тыс. пользователей;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ввод в эксплуатацию цифровой платформы подачи и обработки заявок о согласовании уличных выступлений на открытых площадках города Нижнего Новгорода. Благодаря а</w:t>
      </w:r>
      <w:r>
        <w:rPr>
          <w:rFonts w:eastAsia="Times New Roman"/>
          <w:sz w:val="28"/>
          <w:szCs w:val="28"/>
        </w:rPr>
        <w:t>втоматизации процесса повышен уровень безопасности как самих выступающих, так и их слушателей, а также регулируется уровень шума (в том числе вблизи жилых домов) – не допускается превышение уровня шума (звука) в 60 децибел;</w:t>
      </w:r>
    </w:p>
    <w:p w:rsidR="00832A05" w:rsidRDefault="00311484">
      <w:pPr>
        <w:widowControl w:val="0"/>
        <w:ind w:firstLine="708"/>
        <w:jc w:val="both"/>
      </w:pPr>
      <w:r>
        <w:rPr>
          <w:sz w:val="28"/>
          <w:szCs w:val="28"/>
        </w:rPr>
        <w:t xml:space="preserve">разработка, ввод в эксплуатацию </w:t>
      </w:r>
      <w:r>
        <w:rPr>
          <w:sz w:val="28"/>
          <w:szCs w:val="28"/>
        </w:rPr>
        <w:t>и развитие собственной системы сбора данных для администрации города Нижнего Новгорода «</w:t>
      </w:r>
      <w:proofErr w:type="spellStart"/>
      <w:r>
        <w:rPr>
          <w:sz w:val="28"/>
          <w:szCs w:val="28"/>
        </w:rPr>
        <w:t>Информы</w:t>
      </w:r>
      <w:proofErr w:type="spellEnd"/>
      <w:r>
        <w:rPr>
          <w:sz w:val="28"/>
          <w:szCs w:val="28"/>
        </w:rPr>
        <w:t xml:space="preserve">», имеющей функциональные возможности конструктора форм. </w:t>
      </w:r>
      <w:r>
        <w:rPr>
          <w:rFonts w:eastAsia="Times New Roman"/>
          <w:sz w:val="28"/>
          <w:szCs w:val="28"/>
        </w:rPr>
        <w:t>За счет внедрения системы удалось обеспечить переход на отечественную разработку и отказаться от использ</w:t>
      </w:r>
      <w:r>
        <w:rPr>
          <w:rFonts w:eastAsia="Times New Roman"/>
          <w:sz w:val="28"/>
          <w:szCs w:val="28"/>
        </w:rPr>
        <w:t>ования иностранных сервисов схожего функционала на уровне муниципалитета;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доработка автоматизированной информационной системы «Нестационарные торговые объекты города Нижнего Новгорода» в части развития личного кабинета предпринимателя;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обновленн</w:t>
      </w:r>
      <w:r>
        <w:rPr>
          <w:sz w:val="28"/>
          <w:szCs w:val="28"/>
        </w:rPr>
        <w:t xml:space="preserve">ого официального сайта администрации города </w:t>
      </w:r>
      <w:r>
        <w:rPr>
          <w:sz w:val="28"/>
          <w:szCs w:val="28"/>
        </w:rPr>
        <w:lastRenderedPageBreak/>
        <w:t>Нижнего Новгорода в целях повышения доступности информации для жителей города, а также степени его защиты от внешних угроз;</w:t>
      </w:r>
    </w:p>
    <w:p w:rsidR="00832A05" w:rsidRDefault="00311484">
      <w:pPr>
        <w:widowControl w:val="0"/>
        <w:ind w:firstLine="709"/>
        <w:jc w:val="both"/>
      </w:pPr>
      <w:r>
        <w:rPr>
          <w:bCs/>
          <w:sz w:val="28"/>
          <w:szCs w:val="28"/>
        </w:rPr>
        <w:t>внедрение аппаратно-программного комплекса системы объектового видеоконтроля в муниципал</w:t>
      </w:r>
      <w:r>
        <w:rPr>
          <w:bCs/>
          <w:sz w:val="28"/>
          <w:szCs w:val="28"/>
        </w:rPr>
        <w:t xml:space="preserve">ьных общеобразовательных организациях города Нижнего Новгорода, обеспечивающего информационное взаимодействие с региональными подсистемами АПК «Безопасный город», и </w:t>
      </w:r>
      <w:proofErr w:type="spellStart"/>
      <w:r>
        <w:rPr>
          <w:bCs/>
          <w:sz w:val="28"/>
          <w:szCs w:val="28"/>
        </w:rPr>
        <w:t>видеоаналитики</w:t>
      </w:r>
      <w:proofErr w:type="spellEnd"/>
      <w:r>
        <w:rPr>
          <w:bCs/>
          <w:sz w:val="28"/>
          <w:szCs w:val="28"/>
        </w:rPr>
        <w:t xml:space="preserve"> на его базе. </w:t>
      </w:r>
      <w:r>
        <w:rPr>
          <w:rFonts w:eastAsia="Times New Roman"/>
          <w:sz w:val="28"/>
          <w:szCs w:val="28"/>
        </w:rPr>
        <w:t xml:space="preserve">В рамках проекта организованы работы по внедрению системы </w:t>
      </w:r>
      <w:proofErr w:type="gramStart"/>
      <w:r>
        <w:rPr>
          <w:rFonts w:eastAsia="Times New Roman"/>
          <w:sz w:val="28"/>
          <w:szCs w:val="28"/>
        </w:rPr>
        <w:t>видео</w:t>
      </w:r>
      <w:r>
        <w:rPr>
          <w:rFonts w:eastAsia="Times New Roman"/>
          <w:sz w:val="28"/>
          <w:szCs w:val="28"/>
        </w:rPr>
        <w:t>наблюдения  в</w:t>
      </w:r>
      <w:proofErr w:type="gramEnd"/>
      <w:r>
        <w:rPr>
          <w:rFonts w:eastAsia="Times New Roman"/>
          <w:sz w:val="28"/>
          <w:szCs w:val="28"/>
        </w:rPr>
        <w:t xml:space="preserve"> 2024 году в 21 школе; 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единой системы контроля управления доступом и оплаты питания в общеобразовательных организациях города Нижнего Новгорода (</w:t>
      </w:r>
      <w:proofErr w:type="spellStart"/>
      <w:r>
        <w:rPr>
          <w:rFonts w:eastAsia="Times New Roman"/>
          <w:sz w:val="28"/>
          <w:szCs w:val="28"/>
        </w:rPr>
        <w:t>ЕСКУДиОП</w:t>
      </w:r>
      <w:proofErr w:type="spellEnd"/>
      <w:r>
        <w:rPr>
          <w:rFonts w:eastAsia="Times New Roman"/>
          <w:sz w:val="28"/>
          <w:szCs w:val="28"/>
        </w:rPr>
        <w:t xml:space="preserve">) – расширение географии проекта и его функционала. В рамках проекта </w:t>
      </w:r>
      <w:proofErr w:type="spellStart"/>
      <w:r>
        <w:rPr>
          <w:rFonts w:eastAsia="Times New Roman"/>
          <w:sz w:val="28"/>
          <w:szCs w:val="28"/>
        </w:rPr>
        <w:t>ЕСКУДиОП</w:t>
      </w:r>
      <w:proofErr w:type="spellEnd"/>
      <w:r>
        <w:rPr>
          <w:rFonts w:eastAsia="Times New Roman"/>
          <w:sz w:val="28"/>
          <w:szCs w:val="28"/>
        </w:rPr>
        <w:t xml:space="preserve"> за</w:t>
      </w:r>
      <w:r>
        <w:rPr>
          <w:rFonts w:eastAsia="Times New Roman"/>
          <w:sz w:val="28"/>
          <w:szCs w:val="28"/>
        </w:rPr>
        <w:t xml:space="preserve"> 8 месяцев 2024 года выдано 13 982 «Карты школьника». В текущем году к системе подключено 17 школ города, в 20 школах установлено оборудование для осуществления контроля доступа (турникеты, </w:t>
      </w:r>
      <w:proofErr w:type="spellStart"/>
      <w:r>
        <w:rPr>
          <w:rFonts w:eastAsia="Times New Roman"/>
          <w:sz w:val="28"/>
          <w:szCs w:val="28"/>
        </w:rPr>
        <w:t>ip</w:t>
      </w:r>
      <w:proofErr w:type="spellEnd"/>
      <w:r>
        <w:rPr>
          <w:rFonts w:eastAsia="Times New Roman"/>
          <w:sz w:val="28"/>
          <w:szCs w:val="28"/>
        </w:rPr>
        <w:t>-видеодомофоны и электромагнитные замки). В рамках системы в моб</w:t>
      </w:r>
      <w:r>
        <w:rPr>
          <w:rFonts w:eastAsia="Times New Roman"/>
          <w:sz w:val="28"/>
          <w:szCs w:val="28"/>
        </w:rPr>
        <w:t>ильном приложении «</w:t>
      </w:r>
      <w:proofErr w:type="spellStart"/>
      <w:r>
        <w:rPr>
          <w:rFonts w:eastAsia="Times New Roman"/>
          <w:sz w:val="28"/>
          <w:szCs w:val="28"/>
        </w:rPr>
        <w:t>ШколаНН</w:t>
      </w:r>
      <w:proofErr w:type="spellEnd"/>
      <w:r>
        <w:rPr>
          <w:rFonts w:eastAsia="Times New Roman"/>
          <w:sz w:val="28"/>
          <w:szCs w:val="28"/>
        </w:rPr>
        <w:t>» разработан функционал по оплате питания и пополнения лицевого счета;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работы и методическое сопровождение ответственных сотрудников отраслевых (функциональных) и территориальных органов и подведомственных организаций </w:t>
      </w:r>
      <w:r>
        <w:rPr>
          <w:rFonts w:eastAsia="Times New Roman"/>
          <w:sz w:val="28"/>
          <w:szCs w:val="28"/>
        </w:rPr>
        <w:t>администрации города Нижнего Новгорода (далее – организации) в компоненте «</w:t>
      </w:r>
      <w:proofErr w:type="spellStart"/>
      <w:r>
        <w:rPr>
          <w:rFonts w:eastAsia="Times New Roman"/>
          <w:sz w:val="28"/>
          <w:szCs w:val="28"/>
        </w:rPr>
        <w:t>Госпаблики</w:t>
      </w:r>
      <w:proofErr w:type="spellEnd"/>
      <w:r>
        <w:rPr>
          <w:rFonts w:eastAsia="Times New Roman"/>
          <w:sz w:val="28"/>
          <w:szCs w:val="28"/>
        </w:rPr>
        <w:t xml:space="preserve">» единого окна цифровой обратной связи на базе Единого портала государственных и муниципальных услуг (функций). В рамках мероприятия за 8 месяцев 2024 года подключены 420 </w:t>
      </w:r>
      <w:r>
        <w:rPr>
          <w:rFonts w:eastAsia="Times New Roman"/>
          <w:sz w:val="28"/>
          <w:szCs w:val="28"/>
        </w:rPr>
        <w:t>организаций.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2024 году в рамках участия в пилотном проекте по внедрению технологий «Умного города» при поддержке Министерства строительства и жилищно-коммунального хозяйства Российской Федерации осуществляется: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автоматизированного контроля испо</w:t>
      </w:r>
      <w:r>
        <w:rPr>
          <w:rFonts w:eastAsia="Times New Roman"/>
          <w:sz w:val="28"/>
          <w:szCs w:val="28"/>
        </w:rPr>
        <w:t xml:space="preserve">лнения заявок потребителей коммунальных услуг, внедрение энергоэффективных технологий при организации освещения и замены имеющейся подсветки административных и иных муниципальных зданий, а также образовательных организаций на </w:t>
      </w:r>
      <w:proofErr w:type="spellStart"/>
      <w:r>
        <w:rPr>
          <w:rFonts w:eastAsia="Times New Roman"/>
          <w:sz w:val="28"/>
          <w:szCs w:val="28"/>
        </w:rPr>
        <w:t>энергоэффективные</w:t>
      </w:r>
      <w:proofErr w:type="spellEnd"/>
      <w:r>
        <w:rPr>
          <w:rFonts w:eastAsia="Times New Roman"/>
          <w:sz w:val="28"/>
          <w:szCs w:val="28"/>
        </w:rPr>
        <w:t xml:space="preserve"> аналоги и пр</w:t>
      </w:r>
      <w:r>
        <w:rPr>
          <w:rFonts w:eastAsia="Times New Roman"/>
          <w:sz w:val="28"/>
          <w:szCs w:val="28"/>
        </w:rPr>
        <w:t xml:space="preserve">.; 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развитие информационной системы «Согласование разрешительной документации в электронном виде», целью которой является перевод в электронный вид взаимодействия </w:t>
      </w:r>
      <w:proofErr w:type="spellStart"/>
      <w:r>
        <w:rPr>
          <w:rFonts w:eastAsia="Times New Roman"/>
          <w:sz w:val="28"/>
          <w:szCs w:val="28"/>
        </w:rPr>
        <w:t>ресурсоснабжающих</w:t>
      </w:r>
      <w:proofErr w:type="spellEnd"/>
      <w:r>
        <w:rPr>
          <w:rFonts w:eastAsia="Times New Roman"/>
          <w:sz w:val="28"/>
          <w:szCs w:val="28"/>
        </w:rPr>
        <w:t xml:space="preserve"> организаций, владельцев сетей и коммуникаций, операторов связи с отраслевым</w:t>
      </w:r>
      <w:r>
        <w:rPr>
          <w:rFonts w:eastAsia="Times New Roman"/>
          <w:sz w:val="28"/>
          <w:szCs w:val="28"/>
        </w:rPr>
        <w:t xml:space="preserve">и (функциональными) органами администрации города Нижнего Новгорода в рамках согласования различного типа работ. Благодаря ее </w:t>
      </w:r>
      <w:r>
        <w:rPr>
          <w:sz w:val="28"/>
          <w:szCs w:val="28"/>
        </w:rPr>
        <w:t xml:space="preserve">доработке </w:t>
      </w:r>
      <w:r>
        <w:rPr>
          <w:rFonts w:eastAsia="Times New Roman"/>
          <w:sz w:val="28"/>
          <w:szCs w:val="28"/>
        </w:rPr>
        <w:t>в части внедрения информационной системы «Адресный план» и возможности совмещения работ разных подрядчиков на одном объе</w:t>
      </w:r>
      <w:r>
        <w:rPr>
          <w:rFonts w:eastAsia="Times New Roman"/>
          <w:sz w:val="28"/>
          <w:szCs w:val="28"/>
        </w:rPr>
        <w:t>кте в одно и то же время обеспечено повышение эффективности и снижение затрат на производство работ;</w:t>
      </w:r>
    </w:p>
    <w:p w:rsidR="00832A05" w:rsidRDefault="00311484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собственной команды разработки программного обеспечения на базе АНО «Аналитический центр города Нижнего Новгорода». В результате   сократились сроки</w:t>
      </w:r>
      <w:r>
        <w:rPr>
          <w:rFonts w:eastAsia="Times New Roman"/>
          <w:sz w:val="28"/>
          <w:szCs w:val="28"/>
        </w:rPr>
        <w:t xml:space="preserve"> и стоимость разработки новых информационных систем, ресурсов и сервисов для нужд администрации города Нижнего Новгорода. Это обеспечило экономию муниципального бюджета, а также создание новых рабочих </w:t>
      </w:r>
      <w:r>
        <w:rPr>
          <w:rFonts w:eastAsia="Times New Roman"/>
          <w:sz w:val="28"/>
          <w:szCs w:val="28"/>
        </w:rPr>
        <w:lastRenderedPageBreak/>
        <w:t>мест в сфере информационных технологий в Нижнем Новгоро</w:t>
      </w:r>
      <w:r>
        <w:rPr>
          <w:rFonts w:eastAsia="Times New Roman"/>
          <w:sz w:val="28"/>
          <w:szCs w:val="28"/>
        </w:rPr>
        <w:t>де.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2025-2027 годах планируется продолжить работу в следующих направлениях: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развитие экосистемы «Лобачевский». Использование нейронных сетей в тематической категоризации сообщений, поступающих от граждан по разным каналам взаимодействия. Испол</w:t>
      </w:r>
      <w:r>
        <w:rPr>
          <w:sz w:val="28"/>
          <w:szCs w:val="28"/>
        </w:rPr>
        <w:t xml:space="preserve">ьзование данных, заносимых и обновляемых при помощи </w:t>
      </w:r>
      <w:r>
        <w:rPr>
          <w:rFonts w:eastAsia="Times New Roman"/>
          <w:sz w:val="28"/>
          <w:szCs w:val="28"/>
        </w:rPr>
        <w:t>информационной системы создания прикладных реестров для нужд администрации города Нижнего Новгорода</w:t>
      </w:r>
      <w:r>
        <w:rPr>
          <w:sz w:val="28"/>
          <w:szCs w:val="28"/>
        </w:rPr>
        <w:t xml:space="preserve">, в работе аналитических </w:t>
      </w:r>
      <w:proofErr w:type="spellStart"/>
      <w:r>
        <w:rPr>
          <w:sz w:val="28"/>
          <w:szCs w:val="28"/>
        </w:rPr>
        <w:t>дашбордов</w:t>
      </w:r>
      <w:proofErr w:type="spellEnd"/>
      <w:r>
        <w:rPr>
          <w:sz w:val="28"/>
          <w:szCs w:val="28"/>
        </w:rPr>
        <w:t>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занесение и обновление на регулярной основе всех данных, используемых</w:t>
      </w:r>
      <w:r>
        <w:rPr>
          <w:sz w:val="28"/>
          <w:szCs w:val="28"/>
        </w:rPr>
        <w:t xml:space="preserve"> в городском хозяйстве, в </w:t>
      </w:r>
      <w:r>
        <w:rPr>
          <w:rFonts w:eastAsia="Times New Roman"/>
          <w:sz w:val="28"/>
          <w:szCs w:val="28"/>
        </w:rPr>
        <w:t>информационную систему создания прикладных реестров для нужд администрации города Нижнего Новгорода</w:t>
      </w:r>
      <w:r>
        <w:rPr>
          <w:sz w:val="28"/>
          <w:szCs w:val="28"/>
        </w:rPr>
        <w:t>, перевод работы с этими данными в цифровой вид;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развитие информационной системы «Адресный план» и координация работ по цифровизаци</w:t>
      </w:r>
      <w:r>
        <w:rPr>
          <w:sz w:val="28"/>
          <w:szCs w:val="28"/>
        </w:rPr>
        <w:t>и городского хозяйства с целью повышения эффективности его функционирования;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на базе официального сайта администрации города Нижнего Новгорода портала сервисов для граждан (например, бронирование общественных пространств);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повышение охватов пользо</w:t>
      </w:r>
      <w:r>
        <w:rPr>
          <w:sz w:val="28"/>
          <w:szCs w:val="28"/>
        </w:rPr>
        <w:t xml:space="preserve">вателей </w:t>
      </w:r>
      <w:r>
        <w:rPr>
          <w:rFonts w:eastAsia="Times New Roman"/>
          <w:sz w:val="28"/>
          <w:szCs w:val="28"/>
        </w:rPr>
        <w:t xml:space="preserve">мобильного приложения </w:t>
      </w:r>
      <w:r>
        <w:rPr>
          <w:sz w:val="28"/>
          <w:szCs w:val="28"/>
        </w:rPr>
        <w:t xml:space="preserve">VK </w:t>
      </w:r>
      <w:proofErr w:type="spellStart"/>
      <w:r>
        <w:rPr>
          <w:sz w:val="28"/>
          <w:szCs w:val="28"/>
        </w:rPr>
        <w:t>Mini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Apps</w:t>
      </w:r>
      <w:proofErr w:type="spellEnd"/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«Мой Нижний Новгород»</w:t>
      </w:r>
      <w:r>
        <w:rPr>
          <w:sz w:val="28"/>
          <w:szCs w:val="28"/>
        </w:rPr>
        <w:t>. Развитие сервиса «Мой дом» в части большей персонализации информации, которая может быть необходима пользователю;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дальнейшее подключение городских школ к </w:t>
      </w:r>
      <w:proofErr w:type="spellStart"/>
      <w:r>
        <w:rPr>
          <w:sz w:val="28"/>
          <w:szCs w:val="28"/>
        </w:rPr>
        <w:t>ЕСКУДиОП</w:t>
      </w:r>
      <w:proofErr w:type="spellEnd"/>
      <w:r>
        <w:rPr>
          <w:sz w:val="28"/>
          <w:szCs w:val="28"/>
        </w:rPr>
        <w:t>. Внедрение функционала пров</w:t>
      </w:r>
      <w:r>
        <w:rPr>
          <w:sz w:val="28"/>
          <w:szCs w:val="28"/>
        </w:rPr>
        <w:t>едения операций в рамках школьных буфетов. Реализация функционала бесконтактного прохода через системы контроля доступа;</w:t>
      </w:r>
    </w:p>
    <w:p w:rsidR="00832A05" w:rsidRDefault="00311484">
      <w:pPr>
        <w:widowControl w:val="0"/>
        <w:ind w:firstLine="708"/>
        <w:jc w:val="both"/>
      </w:pPr>
      <w:r>
        <w:rPr>
          <w:sz w:val="28"/>
          <w:szCs w:val="28"/>
        </w:rPr>
        <w:t>дальнейшее оснащение муниципальных общеобразовательных организаций города Нижнего Новгорода аппаратно-программным комплексом системы об</w:t>
      </w:r>
      <w:r>
        <w:rPr>
          <w:sz w:val="28"/>
          <w:szCs w:val="28"/>
        </w:rPr>
        <w:t>ъектового видеоконтроля, обеспечивающего информационное взаимодействие с региональными подсистемами АПК «Безопасный город»;</w:t>
      </w:r>
    </w:p>
    <w:p w:rsidR="00832A05" w:rsidRDefault="00311484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spellStart"/>
      <w:r>
        <w:rPr>
          <w:sz w:val="28"/>
          <w:szCs w:val="28"/>
        </w:rPr>
        <w:t>видеоаналитики</w:t>
      </w:r>
      <w:proofErr w:type="spellEnd"/>
      <w:r>
        <w:rPr>
          <w:sz w:val="28"/>
          <w:szCs w:val="28"/>
        </w:rPr>
        <w:t xml:space="preserve"> на базе аппаратно-программного комплекса системы объектового видеоконтроля в муниципальных общеобразовательн</w:t>
      </w:r>
      <w:r>
        <w:rPr>
          <w:sz w:val="28"/>
          <w:szCs w:val="28"/>
        </w:rPr>
        <w:t>ых организациях города Нижнего Новгорода.</w:t>
      </w:r>
    </w:p>
    <w:p w:rsidR="00832A05" w:rsidRDefault="0031148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представителями, осуществляющими на территории города деятельность в области услуг связи, являются Нижегородский филиал ПАО «Ростелеком», Нижегородский филиал ООО «Т2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Мобайл</w:t>
      </w:r>
      <w:proofErr w:type="spellEnd"/>
      <w:r>
        <w:rPr>
          <w:rFonts w:ascii="Times New Roman" w:hAnsi="Times New Roman" w:cs="Times New Roman"/>
          <w:sz w:val="28"/>
          <w:szCs w:val="28"/>
        </w:rPr>
        <w:t>», АО «Эр-Телеком Холдинг</w:t>
      </w:r>
      <w:r>
        <w:rPr>
          <w:rFonts w:ascii="Times New Roman" w:hAnsi="Times New Roman" w:cs="Times New Roman"/>
          <w:sz w:val="28"/>
          <w:szCs w:val="28"/>
        </w:rPr>
        <w:t xml:space="preserve">», филиал ОАО «МТС» в Нижегородской области, Нижегородский филиал ОАО «Мегафон», Нижегородский филиал ОАО «Вымпел-Коммуникации» (торговая марка «Билайн»). 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ПАО «Ростелеком»</w:t>
      </w:r>
      <w:r>
        <w:rPr>
          <w:rFonts w:ascii="Times New Roman" w:hAnsi="Times New Roman" w:cs="Times New Roman"/>
          <w:sz w:val="28"/>
          <w:szCs w:val="28"/>
        </w:rPr>
        <w:t xml:space="preserve"> — крупнейший в России интегрированный провайдер цифровых услуг и решений, признанный технологический лидер в инновационных решениях в области электронного правительства,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дата-центров и облачных вычислений, биометрии, здравоохранения, об</w:t>
      </w:r>
      <w:r>
        <w:rPr>
          <w:rFonts w:ascii="Times New Roman" w:hAnsi="Times New Roman" w:cs="Times New Roman"/>
          <w:sz w:val="28"/>
          <w:szCs w:val="28"/>
        </w:rPr>
        <w:t>разования, жилищно-коммунальных услуг.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ПАО «Ростелеком» с 2021 года принимает участие в программе «Чистое </w:t>
      </w:r>
      <w:r>
        <w:rPr>
          <w:rFonts w:ascii="Times New Roman" w:hAnsi="Times New Roman" w:cs="Times New Roman"/>
          <w:sz w:val="28"/>
          <w:szCs w:val="28"/>
        </w:rPr>
        <w:lastRenderedPageBreak/>
        <w:t>небо», реализуемой администрацией города Нижнего Новгор</w:t>
      </w:r>
      <w:r>
        <w:rPr>
          <w:rFonts w:ascii="Times New Roman" w:hAnsi="Times New Roman" w:cs="Times New Roman"/>
          <w:sz w:val="28"/>
          <w:szCs w:val="28"/>
        </w:rPr>
        <w:t>ода. В этом году «Ростелеком» начал прокладку оптического кабеля в подземные коммуникации на проспекте Гагарина. Для размещения линий связи задействовано свыше 17 километров собственной линейно-кабельной канализации на участке от остановки общественного тр</w:t>
      </w:r>
      <w:r>
        <w:rPr>
          <w:rFonts w:ascii="Times New Roman" w:hAnsi="Times New Roman" w:cs="Times New Roman"/>
          <w:sz w:val="28"/>
          <w:szCs w:val="28"/>
        </w:rPr>
        <w:t>анспорта «Тобольские казармы» до транспортной развязки у деревни Ольгино на выезде из Нижнего Новгорода.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 рамках соглашения между правительством Нижегородской области и компанией ООО «Центр хранения данных» («Ростелеком-ЦОД») в Нижнем Новгороде началось с</w:t>
      </w:r>
      <w:r>
        <w:rPr>
          <w:rFonts w:ascii="Times New Roman" w:hAnsi="Times New Roman" w:cs="Times New Roman"/>
          <w:sz w:val="28"/>
          <w:szCs w:val="28"/>
        </w:rPr>
        <w:t>троительство центра обработки данных (ЦОД). Первую очередь ЦОД планируется достроить и ввести в эксплуатацию в 2024 году, вторую — в 2025 году. Соглашение предусматривает сотрудничество в реализации национальных проектов, социально значимых программ для об</w:t>
      </w:r>
      <w:r>
        <w:rPr>
          <w:rFonts w:ascii="Times New Roman" w:hAnsi="Times New Roman" w:cs="Times New Roman"/>
          <w:sz w:val="28"/>
          <w:szCs w:val="28"/>
        </w:rPr>
        <w:t>разовательных учреждений, перевод на инфраструктуру «Ростелеком-ЦОД» ряда информационных систем Нижегородской области для предоставления органам власти, региональному бизнес-сообществу облачных услуг и услуг центров обработки данных федерального уровня.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О «Ростелеком» продолжает развивать собственную производственную систему (ПСР), основанную на инструментах и методах бережливого производства. Основными задачами ПСР Ростелеком являются: повышение качества управления, повышение качества процессов, повышени</w:t>
      </w:r>
      <w:r>
        <w:rPr>
          <w:rFonts w:ascii="Times New Roman" w:hAnsi="Times New Roman" w:cs="Times New Roman"/>
          <w:sz w:val="28"/>
          <w:szCs w:val="28"/>
        </w:rPr>
        <w:t>е вовлеченности сотрудников в инициативы оптимизации процессов.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Ключевыми приоритетами на 2025-2027 гг. ПАО «Ростелеком» будет рост в традиционных и в перспективных направлениях бизнеса, сохранение и расширение роли компании как ключевого партнера государс</w:t>
      </w:r>
      <w:r>
        <w:rPr>
          <w:rFonts w:ascii="Times New Roman" w:hAnsi="Times New Roman" w:cs="Times New Roman"/>
          <w:sz w:val="28"/>
          <w:szCs w:val="28"/>
        </w:rPr>
        <w:t>тва в развитии цифровых технологий.</w:t>
      </w:r>
    </w:p>
    <w:p w:rsidR="00832A05" w:rsidRDefault="00832A05"/>
    <w:p w:rsidR="00832A05" w:rsidRDefault="00311484">
      <w:pPr>
        <w:ind w:firstLine="720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Строительство</w:t>
      </w:r>
    </w:p>
    <w:p w:rsidR="00832A05" w:rsidRDefault="00832A05">
      <w:pPr>
        <w:ind w:firstLine="720"/>
        <w:jc w:val="center"/>
        <w:rPr>
          <w:b/>
          <w:sz w:val="28"/>
          <w:szCs w:val="28"/>
        </w:rPr>
      </w:pPr>
    </w:p>
    <w:p w:rsidR="00832A05" w:rsidRDefault="00311484">
      <w:pPr>
        <w:ind w:firstLine="720"/>
        <w:jc w:val="both"/>
        <w:rPr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2024 году ожидаемый объем строительных работ крупных и средних предприятий составит 42,2 млрд. руб., в сопоставимых ценах – 107,5% к уровню прошлого года. Прогнозный объем на 2025 год – 46,7 млрд. руб. </w:t>
      </w:r>
      <w:r>
        <w:rPr>
          <w:rFonts w:eastAsia="Times New Roman"/>
          <w:sz w:val="28"/>
          <w:szCs w:val="28"/>
        </w:rPr>
        <w:t>(в сопоставимых ценах 105%).</w:t>
      </w:r>
    </w:p>
    <w:p w:rsidR="00832A05" w:rsidRDefault="00311484">
      <w:pPr>
        <w:ind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Жилищное строительство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Администрацией города Нижнего Новгорода реализуется комплекс мер, направленный на развитие жилищного строительства. Ведется постоянная работа по освобождению земельных участков от прав третьих лиц, подгот</w:t>
      </w:r>
      <w:r>
        <w:rPr>
          <w:rFonts w:eastAsia="Times New Roman"/>
          <w:color w:val="000000" w:themeColor="text1"/>
          <w:sz w:val="28"/>
          <w:szCs w:val="28"/>
        </w:rPr>
        <w:t xml:space="preserve">овке новых территорий развития жилищного строительства и пр. 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 7 месяцев 2024 года введено в эксплуатацию 422,8 тыс. кв. м жилья (92% к аналогичному периоду предыдущего года), их которых 292,2 тыс. кв. м в многоквартирных домах. 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Основной объем жилищного</w:t>
      </w:r>
      <w:r>
        <w:rPr>
          <w:color w:val="000000" w:themeColor="text1"/>
          <w:sz w:val="28"/>
          <w:szCs w:val="28"/>
        </w:rPr>
        <w:t xml:space="preserve"> строительства выполняется следующими организациями: </w:t>
      </w:r>
    </w:p>
    <w:p w:rsidR="00832A05" w:rsidRDefault="00311484">
      <w:pPr>
        <w:ind w:firstLine="709"/>
        <w:jc w:val="both"/>
        <w:rPr>
          <w:bCs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Группа компаний «Столица Нижний» (5 специализированных застройщиков) в 2024 году уже сдала 8 домов в ЖК «Новая Кузнечиха» и ЖК «Цветы 2», продолжает строительство еще 5 домов; </w:t>
      </w:r>
    </w:p>
    <w:p w:rsidR="00832A05" w:rsidRDefault="00311484">
      <w:pPr>
        <w:ind w:firstLine="709"/>
        <w:jc w:val="both"/>
        <w:rPr>
          <w:bCs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ГК «ННДК» (5 СЗ)</w:t>
      </w:r>
      <w:r>
        <w:rPr>
          <w:bCs/>
          <w:color w:val="auto"/>
          <w:sz w:val="28"/>
          <w:szCs w:val="28"/>
        </w:rPr>
        <w:t xml:space="preserve"> сдала 4 </w:t>
      </w:r>
      <w:r>
        <w:rPr>
          <w:bCs/>
          <w:color w:val="auto"/>
          <w:sz w:val="28"/>
          <w:szCs w:val="28"/>
        </w:rPr>
        <w:t xml:space="preserve">дома в ЖК «Бекетов Парк» и ЖК «Корица», продолжает строительство еще 5 домов в ЖК «Смородина» и ЖК «Гранд Квартал </w:t>
      </w:r>
      <w:proofErr w:type="spellStart"/>
      <w:r>
        <w:rPr>
          <w:bCs/>
          <w:color w:val="auto"/>
          <w:sz w:val="28"/>
          <w:szCs w:val="28"/>
        </w:rPr>
        <w:t>Бетанкур</w:t>
      </w:r>
      <w:proofErr w:type="spellEnd"/>
      <w:r>
        <w:rPr>
          <w:bCs/>
          <w:color w:val="auto"/>
          <w:sz w:val="28"/>
          <w:szCs w:val="28"/>
        </w:rPr>
        <w:t>»;</w:t>
      </w:r>
    </w:p>
    <w:p w:rsidR="00832A05" w:rsidRDefault="00311484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color w:val="auto"/>
          <w:sz w:val="28"/>
          <w:szCs w:val="28"/>
        </w:rPr>
        <w:t>ГК «Каркас Монолит» (6 СЗ)</w:t>
      </w:r>
      <w:r>
        <w:rPr>
          <w:bCs/>
          <w:color w:val="auto"/>
          <w:sz w:val="28"/>
          <w:szCs w:val="28"/>
        </w:rPr>
        <w:t xml:space="preserve"> сдала дом в ЖК «КМ Ривер Парк», продолжает строительство еще</w:t>
      </w:r>
      <w:r>
        <w:rPr>
          <w:bCs/>
          <w:color w:val="000000" w:themeColor="text1"/>
          <w:sz w:val="28"/>
          <w:szCs w:val="28"/>
        </w:rPr>
        <w:t xml:space="preserve"> 8;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>ГК «</w:t>
      </w:r>
      <w:proofErr w:type="spellStart"/>
      <w:r>
        <w:rPr>
          <w:bCs/>
          <w:color w:val="auto"/>
          <w:sz w:val="28"/>
          <w:szCs w:val="28"/>
        </w:rPr>
        <w:t>Жилстрой</w:t>
      </w:r>
      <w:proofErr w:type="spellEnd"/>
      <w:r>
        <w:rPr>
          <w:bCs/>
          <w:color w:val="auto"/>
          <w:sz w:val="28"/>
          <w:szCs w:val="28"/>
        </w:rPr>
        <w:t>-НН</w:t>
      </w:r>
      <w:r>
        <w:rPr>
          <w:bCs/>
          <w:color w:val="auto"/>
          <w:sz w:val="28"/>
          <w:szCs w:val="28"/>
        </w:rPr>
        <w:t>» (4 СЗ) строит 4 объекта в ЖК «Корабли» и ЖК «Торпедо», в последнем 1 дом уже сдан в 2024 году;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>ГК «Подкова» (4 СЗ) продолжает строительство 5 домов, 1 дом в ЖК «Подкова на Гагарина» сдан;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ООО СЗ «ОБЪЕКТСТРОЙ» продолжает строительство 10 домов на </w:t>
      </w:r>
      <w:proofErr w:type="spellStart"/>
      <w:r>
        <w:rPr>
          <w:bCs/>
          <w:color w:val="auto"/>
          <w:sz w:val="28"/>
          <w:szCs w:val="28"/>
        </w:rPr>
        <w:t>ул.Медиц</w:t>
      </w:r>
      <w:r>
        <w:rPr>
          <w:bCs/>
          <w:color w:val="auto"/>
          <w:sz w:val="28"/>
          <w:szCs w:val="28"/>
        </w:rPr>
        <w:t>инской</w:t>
      </w:r>
      <w:proofErr w:type="spellEnd"/>
      <w:r>
        <w:rPr>
          <w:bCs/>
          <w:color w:val="auto"/>
          <w:sz w:val="28"/>
          <w:szCs w:val="28"/>
        </w:rPr>
        <w:t xml:space="preserve"> и ЖК «Зенит», в котором уже сдан 1 дом в 2024 году;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>ООО СЗ «АНДОР» продолжает строительство 11 домов в разных ЖК города.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>ГК «Разумные инвестиции» (5 СЗ) строит 5 домов в различных районах города со сроком сдачи в 2025-2026 гг.;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>СЗ «ТРИ ЭС НОВЫЙ ГОР</w:t>
      </w:r>
      <w:r>
        <w:rPr>
          <w:bCs/>
          <w:color w:val="auto"/>
          <w:sz w:val="28"/>
          <w:szCs w:val="28"/>
        </w:rPr>
        <w:t xml:space="preserve">ОД» (ГК «3S </w:t>
      </w:r>
      <w:proofErr w:type="spellStart"/>
      <w:r>
        <w:rPr>
          <w:bCs/>
          <w:color w:val="auto"/>
          <w:sz w:val="28"/>
          <w:szCs w:val="28"/>
        </w:rPr>
        <w:t>Group</w:t>
      </w:r>
      <w:proofErr w:type="spellEnd"/>
      <w:r>
        <w:rPr>
          <w:bCs/>
          <w:color w:val="auto"/>
          <w:sz w:val="28"/>
          <w:szCs w:val="28"/>
        </w:rPr>
        <w:t>») в текущем году завершает строительство 2 домов в ЖК «Новый Город», еще 1 планируется сдать в 2025 году.</w:t>
      </w:r>
    </w:p>
    <w:p w:rsidR="00832A05" w:rsidRDefault="00311484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Всего на территории города за 8 месяцев 2024 года различными застройщиками введено в эксплуатацию 30 жилых многоквартирных домов, ве</w:t>
      </w:r>
      <w:r>
        <w:rPr>
          <w:bCs/>
          <w:sz w:val="28"/>
          <w:szCs w:val="28"/>
        </w:rPr>
        <w:t xml:space="preserve">дется строительство порядка 90 объектов по всему городу с различными сроками сдачи. </w:t>
      </w:r>
    </w:p>
    <w:p w:rsidR="00832A05" w:rsidRDefault="00311484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Постановлением Правительства Нижегородской области от 04.07.2024 №399 утверждена региональная адресная программа «Переселение граждан на территории Нижегородской области в</w:t>
      </w:r>
      <w:r>
        <w:rPr>
          <w:sz w:val="28"/>
          <w:szCs w:val="28"/>
        </w:rPr>
        <w:t xml:space="preserve"> период с 2024 по 2028 годы из аварийного жилищного фонда, признанного таковым с 1 января 2017 до 1 января 2022».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Финансирование программы осуществляется за счет средств публично-правовой компании «Фонд развития территорий», средств областного бюджета и </w:t>
      </w:r>
      <w:proofErr w:type="gramStart"/>
      <w:r>
        <w:rPr>
          <w:sz w:val="28"/>
          <w:szCs w:val="28"/>
        </w:rPr>
        <w:t>с</w:t>
      </w:r>
      <w:r>
        <w:rPr>
          <w:sz w:val="28"/>
          <w:szCs w:val="28"/>
        </w:rPr>
        <w:t>редств  бюджета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г.Нижнего</w:t>
      </w:r>
      <w:proofErr w:type="spellEnd"/>
      <w:r>
        <w:rPr>
          <w:sz w:val="28"/>
          <w:szCs w:val="28"/>
        </w:rPr>
        <w:t xml:space="preserve"> Новгорода. </w:t>
      </w:r>
    </w:p>
    <w:p w:rsidR="00832A05" w:rsidRDefault="00311484">
      <w:pPr>
        <w:ind w:firstLine="720"/>
        <w:jc w:val="both"/>
      </w:pPr>
      <w:r>
        <w:rPr>
          <w:sz w:val="28"/>
          <w:szCs w:val="28"/>
        </w:rPr>
        <w:t>Программа реализуется в 4 этапа: 1 этап 2024 - 2025 гг.</w:t>
      </w:r>
      <w:r>
        <w:t xml:space="preserve">, </w:t>
      </w:r>
      <w:r>
        <w:rPr>
          <w:sz w:val="28"/>
          <w:szCs w:val="28"/>
        </w:rPr>
        <w:t xml:space="preserve">2 этап 2025 - 2026 гг., 3 этап 2026 - 2027 гг., 4 этап 2027 - 2028 гг. </w:t>
      </w:r>
    </w:p>
    <w:p w:rsidR="00832A05" w:rsidRDefault="00311484">
      <w:pPr>
        <w:ind w:firstLine="720"/>
        <w:jc w:val="both"/>
      </w:pPr>
      <w:r>
        <w:rPr>
          <w:sz w:val="28"/>
          <w:szCs w:val="28"/>
        </w:rPr>
        <w:t>Показателями эффективности реализации программы являются площадь расселенных аварийных мн</w:t>
      </w:r>
      <w:r>
        <w:rPr>
          <w:sz w:val="28"/>
          <w:szCs w:val="28"/>
        </w:rPr>
        <w:t xml:space="preserve">огоквартирных домов (2024 г. – 3 534,6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, 2025 г. - </w:t>
      </w:r>
      <w:r>
        <w:rPr>
          <w:rFonts w:eastAsia="Times New Roman"/>
          <w:sz w:val="28"/>
          <w:szCs w:val="28"/>
        </w:rPr>
        <w:t xml:space="preserve">17 507,2 </w:t>
      </w:r>
      <w:proofErr w:type="spellStart"/>
      <w:r>
        <w:rPr>
          <w:rFonts w:eastAsia="Times New Roman"/>
          <w:sz w:val="28"/>
          <w:szCs w:val="28"/>
        </w:rPr>
        <w:t>кв.м</w:t>
      </w:r>
      <w:proofErr w:type="spellEnd"/>
      <w:r>
        <w:rPr>
          <w:sz w:val="28"/>
          <w:szCs w:val="28"/>
        </w:rPr>
        <w:t>) и количество переселенных жителей (2024 г. – 241, 2025 г. – 1 501).</w:t>
      </w:r>
      <w:r>
        <w:t xml:space="preserve"> </w:t>
      </w:r>
      <w:r>
        <w:rPr>
          <w:sz w:val="28"/>
          <w:szCs w:val="28"/>
        </w:rPr>
        <w:t xml:space="preserve">По мере реализации программы показатели могут быть откорректированы.  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Строительство многоквартирных домов выбрано осн</w:t>
      </w:r>
      <w:r>
        <w:rPr>
          <w:rFonts w:eastAsia="Times New Roman"/>
          <w:color w:val="000000" w:themeColor="text1"/>
          <w:sz w:val="28"/>
          <w:szCs w:val="28"/>
        </w:rPr>
        <w:t>овным способом реализации мероприятий программы как наиболее эффективный в экономическом и социальном аспектах, и составляет не менее 74% от общей расселяемой площади жилых помещений.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В рамках реализации первого этапа новой программы по муниципальному зака</w:t>
      </w:r>
      <w:r>
        <w:rPr>
          <w:rFonts w:eastAsia="Times New Roman"/>
          <w:color w:val="000000" w:themeColor="text1"/>
          <w:sz w:val="28"/>
          <w:szCs w:val="28"/>
        </w:rPr>
        <w:t>зу будет построено три многоквартирных дома – по ул. Садовая (около дома № 24 в Автозаводском районе), по ул. Зайцева (рядом с домом № 22 в Сормовском районе) и по ул. 40 лет Победы (рядом с домами № 12 и № 13 в Приокском районе).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Муниципальные контракты н</w:t>
      </w:r>
      <w:r>
        <w:rPr>
          <w:rFonts w:eastAsia="Times New Roman"/>
          <w:color w:val="000000" w:themeColor="text1"/>
          <w:sz w:val="28"/>
          <w:szCs w:val="28"/>
        </w:rPr>
        <w:t>а проектирование и строительство многоквартирных домов заключены во 2 квартале 2024 года. Срок выполнения работ по условиям контрактов – до 10 ноября 2025 года.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>Планируется строительство многоквартирных домов для расселения жителей аварийного жилищного фон</w:t>
      </w:r>
      <w:r>
        <w:rPr>
          <w:rFonts w:eastAsia="Times New Roman"/>
          <w:color w:val="000000" w:themeColor="text1"/>
          <w:sz w:val="28"/>
          <w:szCs w:val="28"/>
        </w:rPr>
        <w:t>да в каждом районе города.</w:t>
      </w:r>
      <w:r>
        <w:rPr>
          <w:color w:val="000000" w:themeColor="text1"/>
          <w:sz w:val="28"/>
          <w:szCs w:val="28"/>
        </w:rPr>
        <w:t xml:space="preserve">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Объекты инженерной инфраструктуры 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2024 продолжаются мероприятия государственной программы Ниже</w:t>
      </w:r>
      <w:r>
        <w:rPr>
          <w:rFonts w:eastAsia="Times New Roman"/>
          <w:sz w:val="28"/>
          <w:szCs w:val="28"/>
        </w:rPr>
        <w:t xml:space="preserve">городской области «Обеспечение населения Нижегородской области качественными услугами в сфере жилищно-коммунального хозяйства», в том числе за счет средств инфраструктурного бюджетного кредита по объекту «Проектирование и строительство магистральных сетей </w:t>
      </w:r>
      <w:r>
        <w:rPr>
          <w:rFonts w:eastAsia="Times New Roman"/>
          <w:sz w:val="28"/>
          <w:szCs w:val="28"/>
        </w:rPr>
        <w:t xml:space="preserve">водоснабжения/водоотведения под жилищное строительство в п. Ольгино и п. Новинки».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Капитальный ремонт образовательных организаций </w:t>
      </w:r>
    </w:p>
    <w:p w:rsidR="00832A05" w:rsidRPr="00E4547B" w:rsidRDefault="00311484">
      <w:pPr>
        <w:pStyle w:val="1e"/>
        <w:spacing w:before="0"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обеспечения</w:t>
      </w:r>
      <w:r>
        <w:rPr>
          <w:spacing w:val="46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санитарно-эпидемиологического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благополучия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населения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 соблюдения законодательства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сфере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пожарной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безо</w:t>
      </w:r>
      <w:r>
        <w:rPr>
          <w:sz w:val="28"/>
          <w:szCs w:val="28"/>
          <w:lang w:val="ru-RU"/>
        </w:rPr>
        <w:t>пасности для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ведения</w:t>
      </w:r>
      <w:r>
        <w:rPr>
          <w:spacing w:val="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безопасного,</w:t>
      </w:r>
      <w:r>
        <w:rPr>
          <w:spacing w:val="6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качественного</w:t>
      </w:r>
      <w:r>
        <w:rPr>
          <w:spacing w:val="1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pacing w:val="-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комфортного</w:t>
      </w:r>
      <w:r>
        <w:rPr>
          <w:spacing w:val="4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образовательного</w:t>
      </w:r>
      <w:r>
        <w:rPr>
          <w:spacing w:val="1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процесса осуществляется капитальный ремонт образовательных организаций.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2024 году планируется завершить работы в 5 школах и 8 детских дошкольных учреждениях:</w:t>
      </w:r>
    </w:p>
    <w:p w:rsidR="00832A05" w:rsidRPr="00E4547B" w:rsidRDefault="00311484">
      <w:pPr>
        <w:pStyle w:val="a4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рамках государс</w:t>
      </w:r>
      <w:r>
        <w:rPr>
          <w:rFonts w:ascii="Times New Roman" w:hAnsi="Times New Roman"/>
          <w:sz w:val="28"/>
          <w:szCs w:val="28"/>
          <w:lang w:val="ru-RU"/>
        </w:rPr>
        <w:t>твенной программы «Капитальный ремонт обр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азовательных организаций Нижегородской области»: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ремонт кровли МБОУ «Школа № 115», Гимназия № 53, МБДОУ Детский сад № 386;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ремонт внутренних инженерных систем МБОУ «Школа № 11», МБДОУ Детский сад № 94, № 136, № 162;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ремонт внутренних помещений МБДОУ Детский сад №136;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благоустройство территории МБДОУ Детский сад № 18, № 342, № 95.</w:t>
      </w:r>
    </w:p>
    <w:p w:rsidR="00832A05" w:rsidRDefault="00311484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2.</w:t>
      </w:r>
      <w:r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В рамках муниципальной программы «Развитие образования в городе Нижнем Новгороде на 2023-2028 год</w:t>
      </w:r>
      <w:r>
        <w:rPr>
          <w:rFonts w:eastAsia="Times New Roman"/>
          <w:color w:val="000000" w:themeColor="text1"/>
          <w:sz w:val="28"/>
          <w:szCs w:val="28"/>
          <w:lang w:eastAsia="en-US"/>
        </w:rPr>
        <w:t>ы»</w:t>
      </w:r>
      <w:r>
        <w:rPr>
          <w:rFonts w:eastAsia="Times New Roman"/>
          <w:color w:val="000000" w:themeColor="text1"/>
          <w:sz w:val="28"/>
          <w:szCs w:val="28"/>
        </w:rPr>
        <w:t>:</w:t>
      </w:r>
    </w:p>
    <w:p w:rsidR="00832A05" w:rsidRDefault="00311484">
      <w:pPr>
        <w:ind w:firstLine="709"/>
        <w:jc w:val="both"/>
        <w:rPr>
          <w:bCs/>
          <w:i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комплексный капитальный ремонт МБОУ</w:t>
      </w:r>
      <w:r>
        <w:rPr>
          <w:rFonts w:eastAsia="Times New Roman"/>
          <w:color w:val="000000" w:themeColor="text1"/>
          <w:sz w:val="28"/>
          <w:szCs w:val="28"/>
        </w:rPr>
        <w:t xml:space="preserve"> «Школа № 73»;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ремонт фасада МБОУ «Школа № 167».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рамках Адресной инвестиционной программы Нижегородской области 2024/2025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приступили к реализации мероприятий по комплексному капитальному ремонту и оснащению оборудованием объекта </w:t>
      </w:r>
      <w:r>
        <w:rPr>
          <w:rFonts w:eastAsia="Times New Roman"/>
          <w:sz w:val="28"/>
          <w:szCs w:val="28"/>
          <w:shd w:val="clear" w:color="auto" w:fill="FFFFFF"/>
        </w:rPr>
        <w:t>«Капитал</w:t>
      </w:r>
      <w:r>
        <w:rPr>
          <w:rFonts w:eastAsia="Times New Roman"/>
          <w:sz w:val="28"/>
          <w:szCs w:val="28"/>
          <w:shd w:val="clear" w:color="auto" w:fill="FFFFFF"/>
        </w:rPr>
        <w:t>ьный ремонт нежилого помещения с благоустройством прилегающей территории для размещения филиала структурного подразделения Дворца детского творчества им. В.П. Чкалова – Центр компетенции «Дворец рядом с домом» на 200 учащихся»</w:t>
      </w:r>
      <w:r>
        <w:rPr>
          <w:rFonts w:eastAsia="Times New Roman"/>
          <w:sz w:val="28"/>
          <w:szCs w:val="28"/>
        </w:rPr>
        <w:t>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течение 2025-</w:t>
      </w:r>
      <w:proofErr w:type="gramStart"/>
      <w:r>
        <w:rPr>
          <w:color w:val="auto"/>
          <w:sz w:val="28"/>
          <w:szCs w:val="28"/>
        </w:rPr>
        <w:t>2026  гг.</w:t>
      </w:r>
      <w:proofErr w:type="gramEnd"/>
      <w:r>
        <w:rPr>
          <w:color w:val="auto"/>
          <w:sz w:val="28"/>
          <w:szCs w:val="28"/>
        </w:rPr>
        <w:t xml:space="preserve"> пла</w:t>
      </w:r>
      <w:r>
        <w:rPr>
          <w:color w:val="auto"/>
          <w:sz w:val="28"/>
          <w:szCs w:val="28"/>
        </w:rPr>
        <w:t xml:space="preserve">нируется выполнить капитальный ремонт по отдельным видам работ в 4-х школах и 10 детских садах. </w:t>
      </w:r>
      <w:r>
        <w:rPr>
          <w:rFonts w:eastAsia="Times New Roman"/>
          <w:sz w:val="28"/>
          <w:szCs w:val="28"/>
        </w:rPr>
        <w:t>Основанием для реализации мероприятий капитального ремонта в рамках Программ является наличие проектно-сметной документации, получившей положительное заключение</w:t>
      </w:r>
      <w:r>
        <w:rPr>
          <w:rFonts w:eastAsia="Times New Roman"/>
          <w:sz w:val="28"/>
          <w:szCs w:val="28"/>
        </w:rPr>
        <w:t xml:space="preserve"> уполномоченного органа. </w:t>
      </w:r>
    </w:p>
    <w:p w:rsidR="00832A05" w:rsidRDefault="00311484">
      <w:pPr>
        <w:ind w:left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Объекты социальной инфраструктуры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Завершены проектные работы на строительство ДОУ по ул. Ванеева, у дома №221 в Советском районе.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2024-2025 гг. в рамках концессионных соглашений планируется завершение строительства 4-х общеобра</w:t>
      </w:r>
      <w:r>
        <w:rPr>
          <w:color w:val="auto"/>
          <w:sz w:val="28"/>
          <w:szCs w:val="28"/>
        </w:rPr>
        <w:t xml:space="preserve">зовательных организаций: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Канавинский район, ул. Украинская на 825 мест;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Автозаводский район, ул. Космическая на 1 100 мест;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Советский район, ЖК «Новая Кузнечиха» - 2» на 800 мест;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Советский район, ул. Краснозвездная, ЖК «Зенит» на 1 600 мест.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Завершены проектно-изыскательские работы по строительству 5 детских дошкольных учреждений на территории развивающихся жилых комплексов города Нижнего Новгорода: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ДОУ в ЖК «Торпедо»;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ДОУ ЖК «Цветы 2»;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ДОУ в ЖК «Зенит»;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ДОУ № 21 по генплану в Советском район</w:t>
      </w:r>
      <w:r>
        <w:rPr>
          <w:rFonts w:eastAsia="Times New Roman"/>
          <w:sz w:val="28"/>
          <w:szCs w:val="28"/>
        </w:rPr>
        <w:t>е;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ДОУ № 42 по генплану в Советском районе.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стадии завершения находятся проектно-изыскательские работы по строительству 4 </w:t>
      </w:r>
      <w:proofErr w:type="spellStart"/>
      <w:r>
        <w:rPr>
          <w:rFonts w:eastAsia="Times New Roman"/>
          <w:sz w:val="28"/>
          <w:szCs w:val="28"/>
        </w:rPr>
        <w:t>пристроев</w:t>
      </w:r>
      <w:proofErr w:type="spellEnd"/>
      <w:r>
        <w:rPr>
          <w:rFonts w:eastAsia="Times New Roman"/>
          <w:sz w:val="28"/>
          <w:szCs w:val="28"/>
        </w:rPr>
        <w:t xml:space="preserve"> к общеобразовательным учреждениям и 2 школ: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МАОУ «Школа № 103 с УИОП»;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МБОУ «Школа № 134»;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МАОУ «Школа № 55»;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МАОУ «Лицей </w:t>
      </w:r>
      <w:r>
        <w:rPr>
          <w:rFonts w:eastAsia="Times New Roman"/>
          <w:sz w:val="28"/>
          <w:szCs w:val="28"/>
        </w:rPr>
        <w:t>№ 82»;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школа в пос. «Березовая Пойма»</w:t>
      </w:r>
      <w:r>
        <w:rPr>
          <w:sz w:val="28"/>
          <w:szCs w:val="28"/>
        </w:rPr>
        <w:t>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новый корпус школы №118.</w:t>
      </w:r>
    </w:p>
    <w:p w:rsidR="00832A05" w:rsidRDefault="00832A05">
      <w:pPr>
        <w:ind w:firstLine="720"/>
        <w:jc w:val="center"/>
        <w:rPr>
          <w:rFonts w:eastAsia="Times New Roman"/>
          <w:b/>
          <w:bCs/>
          <w:color w:val="auto"/>
          <w:sz w:val="28"/>
          <w:szCs w:val="28"/>
        </w:rPr>
      </w:pPr>
    </w:p>
    <w:p w:rsidR="00832A05" w:rsidRDefault="00311484">
      <w:pPr>
        <w:ind w:firstLine="709"/>
        <w:jc w:val="both"/>
        <w:rPr>
          <w:rStyle w:val="extendedtext-full"/>
          <w:color w:val="000000" w:themeColor="text1"/>
          <w:sz w:val="28"/>
          <w:szCs w:val="28"/>
        </w:rPr>
      </w:pPr>
      <w:r>
        <w:rPr>
          <w:rStyle w:val="extendedtext-full"/>
          <w:color w:val="000000" w:themeColor="text1"/>
          <w:sz w:val="28"/>
          <w:szCs w:val="28"/>
        </w:rPr>
        <w:t>1.2. Прогноз финансового результата</w:t>
      </w:r>
    </w:p>
    <w:p w:rsidR="00832A05" w:rsidRDefault="00832A05">
      <w:pPr>
        <w:ind w:firstLine="709"/>
        <w:jc w:val="both"/>
        <w:rPr>
          <w:rStyle w:val="extendedtext-full"/>
          <w:color w:val="000000" w:themeColor="text1"/>
          <w:sz w:val="28"/>
          <w:szCs w:val="28"/>
        </w:rPr>
      </w:pP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начала 2024 года на фоне «высокой базы» прошлого года наметилась тенденция по снижению прибыли, сформированной кру</w:t>
      </w:r>
      <w:r>
        <w:rPr>
          <w:rFonts w:eastAsia="Times New Roman"/>
          <w:sz w:val="28"/>
          <w:szCs w:val="28"/>
        </w:rPr>
        <w:t xml:space="preserve">пными и средними организациями города. Кроме того, на динамику прибыли оказывают влияние такие факторы </w:t>
      </w:r>
      <w:proofErr w:type="gramStart"/>
      <w:r>
        <w:rPr>
          <w:rFonts w:eastAsia="Times New Roman"/>
          <w:sz w:val="28"/>
          <w:szCs w:val="28"/>
        </w:rPr>
        <w:t>как:  наращивание</w:t>
      </w:r>
      <w:proofErr w:type="gramEnd"/>
      <w:r>
        <w:rPr>
          <w:rFonts w:eastAsia="Times New Roman"/>
          <w:sz w:val="28"/>
          <w:szCs w:val="28"/>
        </w:rPr>
        <w:t xml:space="preserve"> производственных мощностей, локализация производства, адаптация к изменениям в логистике в условиях санкционных ограничений, высокая кл</w:t>
      </w:r>
      <w:r>
        <w:rPr>
          <w:rFonts w:eastAsia="Times New Roman"/>
          <w:sz w:val="28"/>
          <w:szCs w:val="28"/>
        </w:rPr>
        <w:t xml:space="preserve">ючевая ставка Банка России и пр. 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Снижение прибыли по итогам 7 месяцев 2024 года произошло в таких базовых секторах, как: «деятельность профессиональная, научная и техническая» (на 74,2%), «транспортировка и хранение» (на 38,1%) и «обрабатывающие производс</w:t>
      </w:r>
      <w:r>
        <w:rPr>
          <w:rFonts w:eastAsia="Times New Roman"/>
          <w:sz w:val="28"/>
          <w:szCs w:val="28"/>
        </w:rPr>
        <w:t>тва» (на 12%), а также в секторах с незначительной долей прибыли: «деятельность финансовая и страховая» (на 95,2%), «деятельность по операциям с недвижимым имуществом» (на 64</w:t>
      </w:r>
      <w:proofErr w:type="gramStart"/>
      <w:r>
        <w:rPr>
          <w:rFonts w:eastAsia="Times New Roman"/>
          <w:sz w:val="28"/>
          <w:szCs w:val="28"/>
        </w:rPr>
        <w:t xml:space="preserve">%),   </w:t>
      </w:r>
      <w:proofErr w:type="gramEnd"/>
      <w:r>
        <w:rPr>
          <w:rFonts w:eastAsia="Times New Roman"/>
          <w:sz w:val="28"/>
          <w:szCs w:val="28"/>
        </w:rPr>
        <w:t xml:space="preserve">«строительство» (на 24,3%), «предоставление прочих видов услуг» (на 20,2%), </w:t>
      </w:r>
      <w:r>
        <w:rPr>
          <w:rFonts w:eastAsia="Times New Roman"/>
          <w:sz w:val="28"/>
          <w:szCs w:val="28"/>
        </w:rPr>
        <w:t xml:space="preserve"> 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Рост прибыли сохранился в следующих базовых секторах экономики города: «торговля оптовая и розничная; ремонт автотранспортных средств и мотоциклов» (на 45,7%), «обеспечение электрической энергией, газом и паром, кондиционировании воздуха» (на 7%).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Следуе</w:t>
      </w:r>
      <w:r>
        <w:rPr>
          <w:rFonts w:eastAsia="Times New Roman"/>
          <w:sz w:val="28"/>
          <w:szCs w:val="28"/>
        </w:rPr>
        <w:t>т также отметить многократный рост прибыли в секторах экономики, занимающих незначительную долю в общем объеме прибыли - «деятельность в области культуры, спорта, организации досуга и развлечений» (в 3,1 раза), «деятельность гостиниц и предприятий обществе</w:t>
      </w:r>
      <w:r>
        <w:rPr>
          <w:rFonts w:eastAsia="Times New Roman"/>
          <w:sz w:val="28"/>
          <w:szCs w:val="28"/>
        </w:rPr>
        <w:t xml:space="preserve">нного питания» (в 2,8 раза), «деятельность в области здравоохранения и социальных услуг» (в 2,1 раза), </w:t>
      </w:r>
      <w:r>
        <w:rPr>
          <w:rFonts w:eastAsia="Times New Roman"/>
          <w:sz w:val="28"/>
          <w:szCs w:val="28"/>
        </w:rPr>
        <w:lastRenderedPageBreak/>
        <w:t xml:space="preserve">«образование» (на 25,8%), «деятельность в области информации и связи» (на 17,3%). 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 оценке прибыль прибыльных организаций в 2024 году </w:t>
      </w:r>
      <w:proofErr w:type="gramStart"/>
      <w:r>
        <w:rPr>
          <w:rFonts w:eastAsia="Times New Roman"/>
          <w:sz w:val="28"/>
          <w:szCs w:val="28"/>
        </w:rPr>
        <w:t>составит  307</w:t>
      </w:r>
      <w:proofErr w:type="gramEnd"/>
      <w:r>
        <w:rPr>
          <w:rFonts w:eastAsia="Times New Roman"/>
          <w:sz w:val="28"/>
          <w:szCs w:val="28"/>
        </w:rPr>
        <w:t>,4 м</w:t>
      </w:r>
      <w:r>
        <w:rPr>
          <w:rFonts w:eastAsia="Times New Roman"/>
          <w:sz w:val="28"/>
          <w:szCs w:val="28"/>
        </w:rPr>
        <w:t xml:space="preserve">лрд. рублей, темп роста 90% относительно уровня предыдущего года, убытки - 19 млрд. рублей, сальдированный финансовый результат - 288,4 млрд. рублей. 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общей структуре прибыли наибольшую долю занимает прибыль организаций следующих секторов: «торговля опто</w:t>
      </w:r>
      <w:r>
        <w:rPr>
          <w:rFonts w:eastAsia="Times New Roman"/>
          <w:sz w:val="28"/>
          <w:szCs w:val="28"/>
        </w:rPr>
        <w:t>вая и розничная; ремонт автотранспортных средств и мотоциклов», «обрабатывающие производства</w:t>
      </w:r>
      <w:proofErr w:type="gramStart"/>
      <w:r>
        <w:rPr>
          <w:rFonts w:eastAsia="Times New Roman"/>
          <w:sz w:val="28"/>
          <w:szCs w:val="28"/>
        </w:rPr>
        <w:t>»,  «</w:t>
      </w:r>
      <w:proofErr w:type="gramEnd"/>
      <w:r>
        <w:rPr>
          <w:rFonts w:eastAsia="Times New Roman"/>
          <w:sz w:val="28"/>
          <w:szCs w:val="28"/>
        </w:rPr>
        <w:t>деятельность профессиональная, научная и техническая» и «обеспечение электрической энергией, газом и паром, кондиционирование воздуха», «транспортировка и хран</w:t>
      </w:r>
      <w:r>
        <w:rPr>
          <w:rFonts w:eastAsia="Times New Roman"/>
          <w:sz w:val="28"/>
          <w:szCs w:val="28"/>
        </w:rPr>
        <w:t xml:space="preserve">ение». </w:t>
      </w:r>
    </w:p>
    <w:p w:rsidR="00832A05" w:rsidRDefault="00311484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3600" cy="4191000"/>
                <wp:effectExtent l="19050" t="0" r="0" b="0"/>
                <wp:docPr id="3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_i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3600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8.00pt;height:330.00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:rsidR="00832A05" w:rsidRDefault="00832A05">
      <w:pPr>
        <w:ind w:firstLine="709"/>
        <w:jc w:val="both"/>
        <w:rPr>
          <w:rFonts w:eastAsia="Times New Roman"/>
          <w:sz w:val="28"/>
          <w:szCs w:val="28"/>
        </w:rPr>
      </w:pP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прогнозном периоде ожидается восстановление положительной динамики темпа роста прибыли прибыльных организаций: в 2025 г. - 109,6%, в 2026 - 107,1%, 2027 г. - 107,5%. При этом драйверами роста станут: «обрабатывающие производства», «торговля оп</w:t>
      </w:r>
      <w:r>
        <w:rPr>
          <w:rFonts w:eastAsia="Times New Roman"/>
          <w:sz w:val="28"/>
          <w:szCs w:val="28"/>
        </w:rPr>
        <w:t>товая и розничная», «обеспечение электрической энергией, газом и паром, кондиционирование воздуха», «деятельность профессиональная, научная и техническая».</w:t>
      </w:r>
    </w:p>
    <w:p w:rsidR="00832A05" w:rsidRDefault="00832A05">
      <w:pPr>
        <w:ind w:firstLine="709"/>
        <w:jc w:val="both"/>
        <w:rPr>
          <w:rFonts w:eastAsia="Times New Roman"/>
          <w:sz w:val="28"/>
          <w:szCs w:val="28"/>
        </w:rPr>
      </w:pPr>
    </w:p>
    <w:p w:rsidR="00832A05" w:rsidRDefault="00311484">
      <w:pPr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3600" cy="2724150"/>
                <wp:effectExtent l="19050" t="0" r="0" b="0"/>
                <wp:docPr id="4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3600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8.00pt;height:214.50pt;mso-wrap-distance-left:0.00pt;mso-wrap-distance-top:0.00pt;mso-wrap-distance-right:0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:rsidR="00832A05" w:rsidRDefault="00311484">
      <w:pPr>
        <w:ind w:firstLine="709"/>
        <w:jc w:val="both"/>
        <w:rPr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>Прогнозируется, что к концу 2027 года размер прибыли составит 387,7 млрд. рублей, убытки - 17,3 млрд. рублей, сальдированный финансовый результат - 370,3 млрд. рублей.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:rsidR="00832A05" w:rsidRDefault="00832A05">
      <w:pPr>
        <w:ind w:firstLine="709"/>
        <w:jc w:val="both"/>
        <w:rPr>
          <w:b/>
          <w:bCs/>
          <w:color w:val="auto"/>
          <w:sz w:val="28"/>
          <w:szCs w:val="28"/>
        </w:rPr>
      </w:pPr>
    </w:p>
    <w:p w:rsidR="00832A05" w:rsidRDefault="00311484">
      <w:pPr>
        <w:ind w:firstLine="709"/>
        <w:jc w:val="both"/>
        <w:rPr>
          <w:rStyle w:val="extendedtext-ful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 И</w:t>
      </w:r>
      <w:r>
        <w:rPr>
          <w:rStyle w:val="extendedtext-full"/>
          <w:color w:val="auto"/>
          <w:sz w:val="28"/>
          <w:szCs w:val="28"/>
        </w:rPr>
        <w:t>нвестици</w:t>
      </w:r>
      <w:r w:rsidR="00E4547B">
        <w:rPr>
          <w:rStyle w:val="extendedtext-full"/>
          <w:color w:val="auto"/>
          <w:sz w:val="28"/>
          <w:szCs w:val="28"/>
        </w:rPr>
        <w:t>и</w:t>
      </w:r>
      <w:bookmarkStart w:id="0" w:name="_GoBack"/>
      <w:bookmarkEnd w:id="0"/>
      <w:r>
        <w:rPr>
          <w:rStyle w:val="extendedtext-full"/>
          <w:color w:val="auto"/>
          <w:sz w:val="28"/>
          <w:szCs w:val="28"/>
        </w:rPr>
        <w:t xml:space="preserve"> в основной капитал</w:t>
      </w:r>
    </w:p>
    <w:p w:rsidR="00832A05" w:rsidRDefault="00832A05">
      <w:pPr>
        <w:ind w:firstLine="709"/>
        <w:jc w:val="both"/>
        <w:rPr>
          <w:color w:val="FF0000"/>
          <w:sz w:val="28"/>
          <w:szCs w:val="28"/>
        </w:rPr>
      </w:pP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2023 году рекордно вырос объем инвестиций в осно</w:t>
      </w:r>
      <w:r>
        <w:rPr>
          <w:rFonts w:eastAsia="Times New Roman"/>
          <w:sz w:val="28"/>
          <w:szCs w:val="28"/>
        </w:rPr>
        <w:t xml:space="preserve">вной капитал по полному кругу организаций - на 40,9% (в сопоставимых ценах к уровню 2022 года) и составил 235,5 </w:t>
      </w:r>
      <w:proofErr w:type="spellStart"/>
      <w:r>
        <w:rPr>
          <w:rFonts w:eastAsia="Times New Roman"/>
          <w:sz w:val="28"/>
          <w:szCs w:val="28"/>
        </w:rPr>
        <w:t>млрд.руб</w:t>
      </w:r>
      <w:proofErr w:type="spellEnd"/>
      <w:r>
        <w:rPr>
          <w:rFonts w:eastAsia="Times New Roman"/>
          <w:sz w:val="28"/>
          <w:szCs w:val="28"/>
        </w:rPr>
        <w:t xml:space="preserve">. </w:t>
      </w:r>
    </w:p>
    <w:p w:rsidR="00832A05" w:rsidRDefault="00311484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итогам первого полугодия 2024 года </w:t>
      </w:r>
      <w:r>
        <w:rPr>
          <w:color w:val="000000" w:themeColor="text1"/>
          <w:sz w:val="28"/>
          <w:szCs w:val="28"/>
        </w:rPr>
        <w:t xml:space="preserve">на фоне «высокой базы» прошлого года, </w:t>
      </w:r>
      <w:r>
        <w:rPr>
          <w:rFonts w:eastAsia="Times New Roman"/>
          <w:sz w:val="28"/>
          <w:szCs w:val="28"/>
        </w:rPr>
        <w:t>фиксируется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снижение </w:t>
      </w:r>
      <w:r>
        <w:rPr>
          <w:color w:val="000000" w:themeColor="text1"/>
          <w:sz w:val="28"/>
          <w:szCs w:val="28"/>
        </w:rPr>
        <w:t>объема инвестиций на 4%.</w:t>
      </w:r>
      <w:r>
        <w:rPr>
          <w:rFonts w:eastAsia="Times New Roman"/>
          <w:sz w:val="28"/>
          <w:szCs w:val="28"/>
        </w:rPr>
        <w:t xml:space="preserve"> На данный с</w:t>
      </w:r>
      <w:r>
        <w:rPr>
          <w:rFonts w:eastAsia="Times New Roman"/>
          <w:sz w:val="28"/>
          <w:szCs w:val="28"/>
        </w:rPr>
        <w:t>пад повлияло формирование о</w:t>
      </w:r>
      <w:r>
        <w:rPr>
          <w:color w:val="000000" w:themeColor="text1"/>
          <w:sz w:val="28"/>
          <w:szCs w:val="28"/>
        </w:rPr>
        <w:t>трицательной динамики</w:t>
      </w:r>
      <w:r>
        <w:rPr>
          <w:rFonts w:eastAsia="Times New Roman"/>
          <w:sz w:val="28"/>
          <w:szCs w:val="28"/>
        </w:rPr>
        <w:t xml:space="preserve"> в таких базовых секторах, как: «государственное управление и обеспечение военной безопасности; социальное обеспечение» (на 71%), «деятельность профессиональная, научная и техническая» (на 37%).</w:t>
      </w:r>
    </w:p>
    <w:p w:rsidR="00832A05" w:rsidRDefault="00311484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8"/>
        </w:rPr>
        <w:t>Вместе с тем,</w:t>
      </w:r>
      <w:r>
        <w:rPr>
          <w:rFonts w:eastAsia="Times New Roman"/>
          <w:sz w:val="28"/>
          <w:szCs w:val="28"/>
        </w:rPr>
        <w:t xml:space="preserve"> значительный рост объема </w:t>
      </w:r>
      <w:r>
        <w:rPr>
          <w:color w:val="000000" w:themeColor="text1"/>
          <w:sz w:val="28"/>
          <w:szCs w:val="28"/>
        </w:rPr>
        <w:t>инвестиций продолжился в таких ключевых отраслях</w:t>
      </w:r>
      <w:r>
        <w:rPr>
          <w:rFonts w:eastAsia="Times New Roman"/>
          <w:sz w:val="28"/>
          <w:szCs w:val="28"/>
        </w:rPr>
        <w:t>, как</w:t>
      </w:r>
      <w:r>
        <w:rPr>
          <w:color w:val="000000" w:themeColor="text1"/>
          <w:sz w:val="28"/>
          <w:szCs w:val="28"/>
        </w:rPr>
        <w:t>: «транспортировка и хранение» (в 2,3 раза), «строительство» (на 90%), «обрабатывающие производства» (на 30%) и «обеспечение электрической энергией, газом и паром; кондициониров</w:t>
      </w:r>
      <w:r>
        <w:rPr>
          <w:color w:val="000000" w:themeColor="text1"/>
          <w:sz w:val="28"/>
          <w:szCs w:val="28"/>
        </w:rPr>
        <w:t>ание воздуха» (на 30%).</w:t>
      </w:r>
    </w:p>
    <w:p w:rsidR="00832A05" w:rsidRDefault="00311484">
      <w:pPr>
        <w:ind w:firstLine="283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0425" cy="3813503"/>
                <wp:effectExtent l="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712427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4" cy="3813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00.28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:rsidR="00832A05" w:rsidRDefault="00311484">
      <w:pPr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Продолжается тенденция к росту инициативы частных инвесторов, предприятия города активно инвестируют средства в модернизацию производства, осваивают производство аналогов ушедших с рынка продуктов для импортозамещения.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В 1 полугодии 2024 года доля собственных средств составила 54% (в 2023 г. - 32,7%) и впервые за три года превысила долю привлеченных - 46%. Возвращение к традиционной схеме развития за счет собственных источников связано, в том числе с высокой стоимостью к</w:t>
      </w:r>
      <w:r>
        <w:rPr>
          <w:rFonts w:eastAsia="Times New Roman"/>
          <w:color w:val="000000" w:themeColor="text1"/>
          <w:sz w:val="28"/>
          <w:szCs w:val="28"/>
        </w:rPr>
        <w:t xml:space="preserve">редитования, вызванной повышенной ключевой ставкой. </w:t>
      </w:r>
      <w:r>
        <w:rPr>
          <w:color w:val="000000" w:themeColor="text1"/>
          <w:sz w:val="28"/>
          <w:szCs w:val="28"/>
        </w:rPr>
        <w:t>Д</w:t>
      </w:r>
      <w:r>
        <w:rPr>
          <w:rFonts w:eastAsia="Times New Roman"/>
          <w:color w:val="000000" w:themeColor="text1"/>
          <w:sz w:val="28"/>
          <w:szCs w:val="28"/>
        </w:rPr>
        <w:t xml:space="preserve">оля инвестиций, выполненных за счет бюджетных средств, </w:t>
      </w:r>
      <w:r>
        <w:rPr>
          <w:color w:val="000000" w:themeColor="text1"/>
          <w:sz w:val="28"/>
          <w:szCs w:val="28"/>
        </w:rPr>
        <w:t>снизилась до</w:t>
      </w:r>
      <w:r>
        <w:rPr>
          <w:rFonts w:eastAsia="Times New Roman"/>
          <w:color w:val="000000" w:themeColor="text1"/>
          <w:sz w:val="28"/>
          <w:szCs w:val="28"/>
        </w:rPr>
        <w:t xml:space="preserve"> 29,3% от общего объема (45,6% в аналогичном периоде).</w:t>
      </w:r>
    </w:p>
    <w:p w:rsidR="00832A05" w:rsidRDefault="00311484">
      <w:pPr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rFonts w:eastAsia="Times New Roman"/>
          <w:sz w:val="28"/>
          <w:szCs w:val="28"/>
        </w:rPr>
        <w:t>По оценке положи</w:t>
      </w:r>
      <w:r>
        <w:rPr>
          <w:rFonts w:eastAsia="Times New Roman"/>
          <w:sz w:val="28"/>
          <w:szCs w:val="28"/>
        </w:rPr>
        <w:t xml:space="preserve">тельная динамика капиталовложений восстановится во второй </w:t>
      </w:r>
      <w:proofErr w:type="gramStart"/>
      <w:r>
        <w:rPr>
          <w:rFonts w:eastAsia="Times New Roman"/>
          <w:sz w:val="28"/>
          <w:szCs w:val="28"/>
        </w:rPr>
        <w:t>половине  года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auto"/>
          <w:sz w:val="28"/>
          <w:szCs w:val="28"/>
        </w:rPr>
        <w:t>По итогам 2024 года объем инвестиций в основной капитал оценивается на уровне 267,6 млрд. рублей (105% в сопоставимых ценах).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2024 году основными секторами экономики, в которые ожи</w:t>
      </w:r>
      <w:r>
        <w:rPr>
          <w:rFonts w:eastAsia="Times New Roman"/>
          <w:sz w:val="28"/>
          <w:szCs w:val="28"/>
        </w:rPr>
        <w:t>дается направление инвестиционных вложений, будут: «транспортировка и хранение (18,1%), «государственное управление и обеспечение военной безопасности; социальное обеспечение» (16%), «строительство» (12,9%) и «обрабатывающая промышленность» (12%).</w:t>
      </w:r>
    </w:p>
    <w:p w:rsidR="00832A05" w:rsidRDefault="00832A05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32A05" w:rsidRDefault="00311484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943600" cy="3562350"/>
                <wp:effectExtent l="19050" t="0" r="0" b="0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3600" cy="356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8.00pt;height:280.50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</w:p>
    <w:p w:rsidR="00832A05" w:rsidRDefault="00832A05">
      <w:pPr>
        <w:ind w:firstLine="708"/>
        <w:contextualSpacing/>
        <w:jc w:val="both"/>
        <w:rPr>
          <w:rStyle w:val="fontstyle01"/>
        </w:rPr>
      </w:pP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Style w:val="fontstyle01"/>
          <w:rFonts w:ascii="Times New Roman" w:hAnsi="Times New Roman"/>
        </w:rPr>
        <w:t>В це</w:t>
      </w:r>
      <w:r>
        <w:rPr>
          <w:rStyle w:val="fontstyle01"/>
          <w:rFonts w:ascii="Times New Roman" w:hAnsi="Times New Roman"/>
        </w:rPr>
        <w:t>лях эффективного социально-экономического развития города Нижнего Новгорода</w:t>
      </w:r>
      <w:r>
        <w:rPr>
          <w:rFonts w:eastAsia="Times New Roman"/>
          <w:color w:val="000000" w:themeColor="text1"/>
          <w:sz w:val="28"/>
          <w:szCs w:val="28"/>
        </w:rPr>
        <w:t xml:space="preserve"> в</w:t>
      </w:r>
      <w:r>
        <w:rPr>
          <w:rFonts w:eastAsia="Times New Roman"/>
          <w:sz w:val="28"/>
          <w:szCs w:val="28"/>
        </w:rPr>
        <w:t xml:space="preserve"> прогнозном периоде основной</w:t>
      </w:r>
      <w:r>
        <w:rPr>
          <w:rFonts w:eastAsia="Times New Roman"/>
          <w:color w:val="000000" w:themeColor="text1"/>
          <w:sz w:val="28"/>
          <w:szCs w:val="28"/>
        </w:rPr>
        <w:t xml:space="preserve"> задачей будет являться создание </w:t>
      </w:r>
      <w:r>
        <w:rPr>
          <w:rStyle w:val="fontstyle01"/>
          <w:rFonts w:ascii="Times New Roman" w:hAnsi="Times New Roman"/>
          <w:color w:val="000000" w:themeColor="text1"/>
        </w:rPr>
        <w:t>благоприятных условий</w:t>
      </w:r>
      <w:r>
        <w:rPr>
          <w:rStyle w:val="fontstyle01"/>
          <w:rFonts w:ascii="Times New Roman" w:hAnsi="Times New Roman"/>
        </w:rPr>
        <w:t xml:space="preserve"> для </w:t>
      </w:r>
      <w:r>
        <w:rPr>
          <w:rStyle w:val="fontstyle01"/>
          <w:rFonts w:ascii="Times New Roman" w:hAnsi="Times New Roman"/>
          <w:color w:val="auto"/>
        </w:rPr>
        <w:t>активизации</w:t>
      </w:r>
      <w:r>
        <w:rPr>
          <w:rStyle w:val="fontstyle01"/>
          <w:rFonts w:ascii="Times New Roman" w:hAnsi="Times New Roman"/>
        </w:rPr>
        <w:t xml:space="preserve"> инвестиционной деятельности.</w:t>
      </w:r>
      <w:r>
        <w:rPr>
          <w:rFonts w:eastAsia="Times New Roman"/>
          <w:sz w:val="28"/>
          <w:szCs w:val="28"/>
        </w:rPr>
        <w:t xml:space="preserve"> </w:t>
      </w:r>
    </w:p>
    <w:p w:rsidR="00832A05" w:rsidRDefault="00311484">
      <w:pPr>
        <w:ind w:firstLine="709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 учетом введения в Нижегородской области «Региона</w:t>
      </w:r>
      <w:r>
        <w:rPr>
          <w:rFonts w:eastAsia="Times New Roman"/>
          <w:sz w:val="28"/>
          <w:szCs w:val="28"/>
        </w:rPr>
        <w:t>льного инвестиционного стандарта» организована работа по внедрению новых и актуализации действующих элементов муниципального инвестиционного стандарта, в том числе:</w:t>
      </w:r>
    </w:p>
    <w:p w:rsidR="00832A05" w:rsidRDefault="00311484">
      <w:pPr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8"/>
        </w:rPr>
        <w:t>размещен</w:t>
      </w:r>
      <w: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инвестиционный раздел на официальном сайте города Нижнего Новгорода;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утвержден мун</w:t>
      </w:r>
      <w:r>
        <w:rPr>
          <w:rFonts w:eastAsia="Times New Roman"/>
          <w:sz w:val="28"/>
          <w:szCs w:val="28"/>
        </w:rPr>
        <w:t>иципальный регламент сопровождения инвестиционных проектов;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разработан инвестиционный профиль города Нижнего Новгорода;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подписано соглашение о сотрудничестве между министерством экономического развития и инвестиций Нижегородской области, муниципальным обра</w:t>
      </w:r>
      <w:r>
        <w:rPr>
          <w:rFonts w:eastAsia="Times New Roman"/>
          <w:sz w:val="28"/>
          <w:szCs w:val="28"/>
        </w:rPr>
        <w:t>зованием городской округ город Нижний Новгород и АО «Корпорация развития Нижегородской области»;</w:t>
      </w:r>
    </w:p>
    <w:p w:rsidR="00832A05" w:rsidRDefault="00311484">
      <w:pPr>
        <w:ind w:firstLine="709"/>
        <w:contextualSpacing/>
        <w:jc w:val="both"/>
        <w:rPr>
          <w:rStyle w:val="fontstyle01"/>
          <w:rFonts w:ascii="Times New Roman" w:hAnsi="Times New Roman"/>
          <w:color w:val="000000" w:themeColor="text1"/>
        </w:rPr>
      </w:pPr>
      <w:r>
        <w:rPr>
          <w:rStyle w:val="fontstyle01"/>
          <w:rFonts w:ascii="Times New Roman" w:hAnsi="Times New Roman"/>
          <w:color w:val="000000" w:themeColor="text1"/>
        </w:rPr>
        <w:t>Администрацией города Нижнего Новгорода также ведется активная работа по привлечению инвестиций в экономику города и внедрению практики применения механизмов г</w:t>
      </w:r>
      <w:r>
        <w:rPr>
          <w:rStyle w:val="fontstyle01"/>
          <w:rFonts w:ascii="Times New Roman" w:hAnsi="Times New Roman"/>
          <w:color w:val="000000" w:themeColor="text1"/>
        </w:rPr>
        <w:t>осударственно-частного партнерства.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обеспечения эффективной инвестиционной политики и улучшения инвестиционного климата в городе сформирован Инвестиционный план. 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Крупнейшие проекты Инвестиционного плана направлены на развитие: 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городской инфраструктуры - «Создание террасного парка в </w:t>
      </w:r>
      <w:proofErr w:type="spellStart"/>
      <w:r>
        <w:rPr>
          <w:rFonts w:eastAsia="Times New Roman"/>
          <w:sz w:val="28"/>
          <w:szCs w:val="28"/>
        </w:rPr>
        <w:t>Почаинском</w:t>
      </w:r>
      <w:proofErr w:type="spellEnd"/>
      <w:r>
        <w:rPr>
          <w:rFonts w:eastAsia="Times New Roman"/>
          <w:sz w:val="28"/>
          <w:szCs w:val="28"/>
        </w:rPr>
        <w:t xml:space="preserve"> овраге», «Развитие улицы Черниговская», строительство ледового дворца на 12 </w:t>
      </w:r>
      <w:proofErr w:type="spellStart"/>
      <w:proofErr w:type="gramStart"/>
      <w:r>
        <w:rPr>
          <w:rFonts w:eastAsia="Times New Roman"/>
          <w:sz w:val="28"/>
          <w:szCs w:val="28"/>
        </w:rPr>
        <w:t>тыс.мест</w:t>
      </w:r>
      <w:proofErr w:type="spellEnd"/>
      <w:proofErr w:type="gramEnd"/>
      <w:r>
        <w:rPr>
          <w:rFonts w:eastAsia="Times New Roman"/>
          <w:sz w:val="28"/>
          <w:szCs w:val="28"/>
        </w:rPr>
        <w:t>;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коммунальной инфраструктуры - «Проектирование и строительство очистных сооружений водопроводной станции</w:t>
      </w:r>
      <w:r>
        <w:rPr>
          <w:rFonts w:eastAsia="Times New Roman"/>
          <w:sz w:val="28"/>
          <w:szCs w:val="28"/>
        </w:rPr>
        <w:t xml:space="preserve"> «Малиновая гряда», «Реконструкция Нижегородской станции аэрации»;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транспортной инфраструктуры - «Продление Автозаводской линии метрополитена» и «Продление </w:t>
      </w:r>
      <w:proofErr w:type="spellStart"/>
      <w:r>
        <w:rPr>
          <w:rFonts w:eastAsia="Times New Roman"/>
          <w:sz w:val="28"/>
          <w:szCs w:val="28"/>
        </w:rPr>
        <w:t>Сормовско</w:t>
      </w:r>
      <w:proofErr w:type="spellEnd"/>
      <w:r>
        <w:rPr>
          <w:rFonts w:eastAsia="Times New Roman"/>
          <w:sz w:val="28"/>
          <w:szCs w:val="28"/>
        </w:rPr>
        <w:t>-Мещерской линии метрополитена», «Строительство канатной дороги от парка «Швейцария» до ст.</w:t>
      </w:r>
      <w:r>
        <w:rPr>
          <w:rFonts w:eastAsia="Times New Roman"/>
          <w:sz w:val="28"/>
          <w:szCs w:val="28"/>
        </w:rPr>
        <w:t xml:space="preserve"> Заречная», «Строительство дублера </w:t>
      </w:r>
      <w:proofErr w:type="spellStart"/>
      <w:r>
        <w:rPr>
          <w:rFonts w:eastAsia="Times New Roman"/>
          <w:sz w:val="28"/>
          <w:szCs w:val="28"/>
        </w:rPr>
        <w:t>пр</w:t>
      </w:r>
      <w:proofErr w:type="spellEnd"/>
      <w:r>
        <w:rPr>
          <w:rFonts w:eastAsia="Times New Roman"/>
          <w:sz w:val="28"/>
          <w:szCs w:val="28"/>
        </w:rPr>
        <w:t xml:space="preserve">-та Гагарина», «Строительство дублера </w:t>
      </w:r>
      <w:proofErr w:type="spellStart"/>
      <w:r>
        <w:rPr>
          <w:rFonts w:eastAsia="Times New Roman"/>
          <w:sz w:val="28"/>
          <w:szCs w:val="28"/>
        </w:rPr>
        <w:t>пр</w:t>
      </w:r>
      <w:proofErr w:type="spellEnd"/>
      <w:r>
        <w:rPr>
          <w:rFonts w:eastAsia="Times New Roman"/>
          <w:sz w:val="28"/>
          <w:szCs w:val="28"/>
        </w:rPr>
        <w:t>-та Ленина».</w:t>
      </w:r>
    </w:p>
    <w:p w:rsidR="00832A05" w:rsidRDefault="00311484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Кроме того, на территории города реализуется ряд других крупных проектов, направленных на развитие городской инфраструктуры: строительство </w:t>
      </w:r>
      <w:proofErr w:type="spellStart"/>
      <w:r>
        <w:rPr>
          <w:rFonts w:eastAsia="Times New Roman"/>
          <w:sz w:val="28"/>
          <w:szCs w:val="28"/>
        </w:rPr>
        <w:t>экопарка</w:t>
      </w:r>
      <w:proofErr w:type="spellEnd"/>
      <w:r>
        <w:rPr>
          <w:rFonts w:eastAsia="Times New Roman"/>
          <w:sz w:val="28"/>
          <w:szCs w:val="28"/>
        </w:rPr>
        <w:t>, включающего гости</w:t>
      </w:r>
      <w:r>
        <w:rPr>
          <w:rFonts w:eastAsia="Times New Roman"/>
          <w:sz w:val="28"/>
          <w:szCs w:val="28"/>
        </w:rPr>
        <w:t>ницу 5* и термальный комплекс, строительство ИТ-кампуса «</w:t>
      </w:r>
      <w:proofErr w:type="spellStart"/>
      <w:r>
        <w:rPr>
          <w:rFonts w:eastAsia="Times New Roman"/>
          <w:sz w:val="28"/>
          <w:szCs w:val="28"/>
        </w:rPr>
        <w:t>Неймарк</w:t>
      </w:r>
      <w:proofErr w:type="spellEnd"/>
      <w:r>
        <w:rPr>
          <w:rFonts w:eastAsia="Times New Roman"/>
          <w:sz w:val="28"/>
          <w:szCs w:val="28"/>
        </w:rPr>
        <w:t>», модернизация электротранспорта, развитие канатной транспортной системы и др.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2025-2027 гг. ожидается устойчивый рост инвестиций в основной капитал в 103,4-105,2% в сопоставимых ценах, что</w:t>
      </w:r>
      <w:r>
        <w:rPr>
          <w:rFonts w:eastAsia="Times New Roman"/>
          <w:sz w:val="28"/>
          <w:szCs w:val="28"/>
        </w:rPr>
        <w:t xml:space="preserve"> позволит к 2027 году достичь объема в 351,7 млрд. рублей.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Объем инвестиций в основной капитал в прогнозном периоде будет также обеспечен реализацией ряда инвестиционных проектов в следующих секторах экономики: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«обрабатывающие производства» - традиционно н</w:t>
      </w:r>
      <w:r>
        <w:rPr>
          <w:rFonts w:eastAsia="Times New Roman"/>
          <w:sz w:val="28"/>
          <w:szCs w:val="28"/>
        </w:rPr>
        <w:t>аиболее масштабные проекты реализуют крупнейшие предприятия города, так:</w:t>
      </w:r>
      <w:r>
        <w:rPr>
          <w:rFonts w:eastAsia="Times New Roman"/>
          <w:sz w:val="28"/>
        </w:rPr>
        <w:t xml:space="preserve"> АО «ОКБМ Африкантов» в прогнозном периоде продолжит реализацию 7 инвестиционных проектов стоимостью более 10,8 млрд. руб., ПАО «ОАК»-НАЗ «Сокол» в 2022-2026 гг. реализует 3 проекта по</w:t>
      </w:r>
      <w:r>
        <w:rPr>
          <w:rFonts w:eastAsia="Times New Roman"/>
          <w:sz w:val="28"/>
        </w:rPr>
        <w:t xml:space="preserve"> производству новых деталей самолетов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sz w:val="28"/>
        </w:rPr>
        <w:t>стоимостью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sz w:val="28"/>
        </w:rPr>
        <w:t xml:space="preserve">4,4 </w:t>
      </w:r>
      <w:proofErr w:type="spellStart"/>
      <w:r>
        <w:rPr>
          <w:rFonts w:eastAsia="Times New Roman"/>
          <w:sz w:val="28"/>
        </w:rPr>
        <w:t>млрд.руб</w:t>
      </w:r>
      <w:proofErr w:type="spellEnd"/>
      <w:r>
        <w:rPr>
          <w:rFonts w:eastAsia="Times New Roman"/>
          <w:sz w:val="28"/>
        </w:rPr>
        <w:t xml:space="preserve">., АО «Хлеб» в 2022-2027 гг. реализует ряд проектов по приобретению и модернизации оборудования </w:t>
      </w:r>
      <w:proofErr w:type="spellStart"/>
      <w:r>
        <w:rPr>
          <w:rFonts w:eastAsia="Times New Roman"/>
          <w:sz w:val="28"/>
        </w:rPr>
        <w:t>оборудования</w:t>
      </w:r>
      <w:proofErr w:type="spellEnd"/>
      <w:r>
        <w:rPr>
          <w:rFonts w:eastAsia="Times New Roman"/>
          <w:sz w:val="28"/>
        </w:rPr>
        <w:t xml:space="preserve"> на 1,3 </w:t>
      </w:r>
      <w:proofErr w:type="spellStart"/>
      <w:r>
        <w:rPr>
          <w:rFonts w:eastAsia="Times New Roman"/>
          <w:sz w:val="28"/>
        </w:rPr>
        <w:t>млрд.руб</w:t>
      </w:r>
      <w:proofErr w:type="spellEnd"/>
      <w:r>
        <w:rPr>
          <w:rFonts w:eastAsia="Times New Roman"/>
          <w:sz w:val="28"/>
        </w:rPr>
        <w:t xml:space="preserve">. </w:t>
      </w:r>
    </w:p>
    <w:p w:rsidR="00832A05" w:rsidRDefault="00311484">
      <w:pPr>
        <w:ind w:firstLine="709"/>
        <w:jc w:val="both"/>
      </w:pPr>
      <w:r>
        <w:rPr>
          <w:rFonts w:eastAsia="Times New Roman"/>
          <w:sz w:val="28"/>
          <w:szCs w:val="28"/>
        </w:rPr>
        <w:t>«обеспечение электрической энергией, газом и паром; кондиционировани</w:t>
      </w:r>
      <w:r>
        <w:rPr>
          <w:rFonts w:eastAsia="Times New Roman"/>
          <w:sz w:val="28"/>
          <w:szCs w:val="28"/>
        </w:rPr>
        <w:t>е воздуха» - крупнейшие проекты реализуют ООО «Автозаводская ТЭЦ» с «Инвестиционной программой в сфере теплоснабжения 2022-2026 гг.» - 1,2 млрд. руб. и ООО «Специнвестпроект» с проектом «Строительство новых и реконструкция действующих электроэнергетических</w:t>
      </w:r>
      <w:r>
        <w:rPr>
          <w:rFonts w:eastAsia="Times New Roman"/>
          <w:sz w:val="28"/>
          <w:szCs w:val="28"/>
        </w:rPr>
        <w:t xml:space="preserve"> объектов» - 2,1 </w:t>
      </w:r>
      <w:proofErr w:type="spellStart"/>
      <w:r>
        <w:rPr>
          <w:rFonts w:eastAsia="Times New Roman"/>
          <w:sz w:val="28"/>
          <w:szCs w:val="28"/>
        </w:rPr>
        <w:t>млрд.руб</w:t>
      </w:r>
      <w:proofErr w:type="spellEnd"/>
      <w:r>
        <w:rPr>
          <w:rFonts w:eastAsia="Times New Roman"/>
          <w:sz w:val="28"/>
          <w:szCs w:val="28"/>
        </w:rPr>
        <w:t xml:space="preserve">.; </w:t>
      </w:r>
    </w:p>
    <w:p w:rsidR="00832A05" w:rsidRDefault="00311484">
      <w:pPr>
        <w:ind w:firstLine="709"/>
        <w:jc w:val="both"/>
        <w:rPr>
          <w:color w:val="000000" w:themeColor="text1"/>
        </w:rPr>
      </w:pPr>
      <w:r>
        <w:rPr>
          <w:rFonts w:eastAsia="Times New Roman"/>
          <w:sz w:val="28"/>
          <w:szCs w:val="28"/>
        </w:rPr>
        <w:t xml:space="preserve">«водоснабжение; водоотведение, организация сбора и утилизация отходов, деятельность по ликвидации загрязнений» - АО </w:t>
      </w:r>
      <w:r>
        <w:rPr>
          <w:rFonts w:eastAsia="Times New Roman"/>
          <w:color w:val="000000" w:themeColor="text1"/>
          <w:sz w:val="28"/>
          <w:szCs w:val="28"/>
        </w:rPr>
        <w:t>«Нижегородский водоканал»</w:t>
      </w:r>
      <w:r>
        <w:rPr>
          <w:rFonts w:eastAsia="Times New Roman"/>
          <w:sz w:val="28"/>
          <w:szCs w:val="28"/>
        </w:rPr>
        <w:t xml:space="preserve"> реализует</w:t>
      </w:r>
      <w:r>
        <w:rPr>
          <w:rFonts w:eastAsia="Times New Roman"/>
          <w:color w:val="000000" w:themeColor="text1"/>
          <w:sz w:val="28"/>
          <w:szCs w:val="28"/>
        </w:rPr>
        <w:t xml:space="preserve"> инвестиционную программу по модернизации до 2030 года, в прогнозном периоде</w:t>
      </w:r>
      <w:r>
        <w:rPr>
          <w:rFonts w:eastAsia="Times New Roman"/>
          <w:color w:val="000000" w:themeColor="text1"/>
          <w:sz w:val="28"/>
          <w:szCs w:val="28"/>
        </w:rPr>
        <w:t xml:space="preserve"> объем инвестиций достигнет 15,3 </w:t>
      </w:r>
      <w:r>
        <w:rPr>
          <w:rFonts w:eastAsia="Times New Roman"/>
          <w:sz w:val="28"/>
          <w:szCs w:val="28"/>
        </w:rPr>
        <w:t>млрд. руб.;</w:t>
      </w:r>
    </w:p>
    <w:p w:rsidR="00832A05" w:rsidRDefault="00311484">
      <w:pPr>
        <w:ind w:firstLine="709"/>
        <w:jc w:val="both"/>
      </w:pPr>
      <w:r>
        <w:rPr>
          <w:rFonts w:eastAsia="Times New Roman"/>
          <w:sz w:val="28"/>
          <w:szCs w:val="28"/>
        </w:rPr>
        <w:t xml:space="preserve">«деятельность профессиональная, научная и техническая» - АО НПП «Полет» планирует ряд проектов по техническому перевооружению, общий объем инвестиций в 2025-2028 гг. – более 3 </w:t>
      </w:r>
      <w:proofErr w:type="spellStart"/>
      <w:r>
        <w:rPr>
          <w:rFonts w:eastAsia="Times New Roman"/>
          <w:sz w:val="28"/>
          <w:szCs w:val="28"/>
        </w:rPr>
        <w:t>млрд.руб</w:t>
      </w:r>
      <w:proofErr w:type="spellEnd"/>
      <w:r>
        <w:rPr>
          <w:rFonts w:eastAsia="Times New Roman"/>
          <w:sz w:val="28"/>
          <w:szCs w:val="28"/>
        </w:rPr>
        <w:t>.;</w:t>
      </w:r>
    </w:p>
    <w:p w:rsidR="00832A05" w:rsidRDefault="00311484">
      <w:pPr>
        <w:ind w:firstLine="709"/>
        <w:jc w:val="both"/>
      </w:pPr>
      <w:r>
        <w:rPr>
          <w:rFonts w:eastAsia="Times New Roman"/>
          <w:sz w:val="28"/>
          <w:szCs w:val="28"/>
        </w:rPr>
        <w:t xml:space="preserve">«транспортировка и хранение» - «ООО Газпром газораспределение Нижний Новгород» реализует проект по проведению расширения систем газоснабжения в 2022-2027 гг. - 18,9 </w:t>
      </w:r>
      <w:proofErr w:type="spellStart"/>
      <w:r>
        <w:rPr>
          <w:rFonts w:eastAsia="Times New Roman"/>
          <w:sz w:val="28"/>
          <w:szCs w:val="28"/>
        </w:rPr>
        <w:t>млрд.руб</w:t>
      </w:r>
      <w:proofErr w:type="spellEnd"/>
      <w:r>
        <w:rPr>
          <w:rFonts w:eastAsia="Times New Roman"/>
          <w:sz w:val="28"/>
          <w:szCs w:val="28"/>
        </w:rPr>
        <w:t>.;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«строительство» - АО «АСЭ» реализует ряд проектов общим объемом в 2014-2027 гг. </w:t>
      </w:r>
      <w:r>
        <w:rPr>
          <w:rFonts w:eastAsia="Times New Roman"/>
          <w:sz w:val="28"/>
          <w:szCs w:val="28"/>
        </w:rPr>
        <w:t>– более 3,5 млрд. руб.</w:t>
      </w:r>
    </w:p>
    <w:p w:rsidR="00832A05" w:rsidRDefault="00832A05">
      <w:pPr>
        <w:ind w:firstLine="709"/>
        <w:contextualSpacing/>
        <w:jc w:val="both"/>
        <w:rPr>
          <w:color w:val="FF0000"/>
          <w:sz w:val="28"/>
          <w:szCs w:val="28"/>
        </w:rPr>
      </w:pPr>
    </w:p>
    <w:p w:rsidR="00832A05" w:rsidRDefault="00832A05">
      <w:pPr>
        <w:ind w:firstLine="709"/>
        <w:jc w:val="center"/>
        <w:rPr>
          <w:color w:val="000000" w:themeColor="text1"/>
          <w:sz w:val="32"/>
          <w:szCs w:val="32"/>
        </w:rPr>
      </w:pPr>
    </w:p>
    <w:p w:rsidR="00832A05" w:rsidRDefault="00311484">
      <w:pPr>
        <w:ind w:firstLine="709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2. Прогноз развития потребительского рынка</w:t>
      </w:r>
    </w:p>
    <w:p w:rsidR="00832A05" w:rsidRDefault="00832A05">
      <w:pPr>
        <w:ind w:firstLine="709"/>
        <w:rPr>
          <w:color w:val="FF0000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Потребительский рынок города Нижнего Новгорода представляет собой развитую сеть предприятий торговли, общественного питания и бытовых услуг различных типов, видов, форм и форматов, котора</w:t>
      </w:r>
      <w:r>
        <w:rPr>
          <w:sz w:val="28"/>
          <w:szCs w:val="28"/>
        </w:rPr>
        <w:t>я включает в себя 9 356 объектов, в том числе: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4 136 стационарных предприятий розничной торговли;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646 аптек и оптик;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1 336 объектов нестационарной торговой сети;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розничных рынка на 1 202 места;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 регулярных (универсальных) ярмарок на 2 368 торговых мест;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выставок-ярмарок выходного дня по продаже сельскохозяйственной продукции нижегородскими товаропроизводителями на 136 мест;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выставки-ярмарки разового проведения на 148 мест;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1 458 предприятий общественного питания;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1 760 предприятий бытового обслуживан</w:t>
      </w:r>
      <w:r>
        <w:rPr>
          <w:sz w:val="28"/>
          <w:szCs w:val="28"/>
        </w:rPr>
        <w:t>ия.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емкость потребительского рынка города по крупным и средним предприятиям по итогам 2023 года составила 467,1 млрд. рублей. В 2024 году продолжается рост в данном секторе и по оценке к концу года общая емкость составит 516,5 млрд. рублей.</w:t>
      </w:r>
    </w:p>
    <w:p w:rsidR="00832A05" w:rsidRDefault="00311484">
      <w:pPr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целом потребительский рынок города характеризуется высоким потенциалом роста, в том числе за счет развития компаниями своего онлайн –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>присутствия и, соответственно, предложения потребителям новых или более выгодных условий для выбора и покупки товаров ил</w:t>
      </w:r>
      <w:r>
        <w:rPr>
          <w:color w:val="000000" w:themeColor="text1"/>
          <w:sz w:val="28"/>
          <w:szCs w:val="28"/>
        </w:rPr>
        <w:t xml:space="preserve">и услуг.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данной сферы в прогнозном периоде будут способствовать следующие позитивные факторы: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государственных мер поддержки, стимулирующих развертывание собственных производственных мощностей для изготовления альтернативных товаров;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асширение ассортимента продукции для сохранения товарного разнообразия в торговых точках города;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высокий уровень обеспеченности стационарными торговыми площадями;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стабильный темп развития материально-технической базы предприятий потребительского рынка;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общественных пространств города;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бизнеса адаптироваться к изменяющимся предпочтениям потребителей и использовать новые технологии для улучшения своих предложений;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высокий уровень конкурентной среды, насыщенности товарами и услугами.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огнозируемая стабильная ситуация на рынке труда, рост денежных доходов населения будут стимулировать увеличение потребительского спроса и дальнейшее развитие предприятий потребительского рынка. В свою очередь, являясь местом концентрации занятости значител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ьной доли населения и одним из основных источников формирования объемов прибыли, данная сфера будет оказывать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существенное  влияние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общую динамику роста экономики города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прогнозном периоде.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Розничная торговля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стационарными торговыми пло</w:t>
      </w:r>
      <w:r>
        <w:rPr>
          <w:sz w:val="28"/>
          <w:szCs w:val="28"/>
        </w:rPr>
        <w:t xml:space="preserve">щадями на 10 тыс. жителей составляет 13 602,1 кв. м или 337,6% от установленного норматива. За первое полугодие 2024 года начали деятельность 66 стационарных предприятий розничной торговли, торговой площадью 6 962,7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</w:t>
      </w:r>
    </w:p>
    <w:p w:rsidR="00832A05" w:rsidRPr="00E4547B" w:rsidRDefault="00311484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Нижний Новгород</w:t>
      </w:r>
      <w:r>
        <w:rPr>
          <w:rFonts w:ascii="Times New Roman" w:hAnsi="Times New Roman"/>
          <w:sz w:val="28"/>
          <w:szCs w:val="28"/>
          <w:lang w:val="ru-RU"/>
        </w:rPr>
        <w:t xml:space="preserve"> является одним из</w:t>
      </w:r>
      <w:r>
        <w:rPr>
          <w:rFonts w:ascii="Times New Roman" w:hAnsi="Times New Roman"/>
          <w:sz w:val="28"/>
          <w:szCs w:val="28"/>
          <w:lang w:val="ru-RU"/>
        </w:rPr>
        <w:t xml:space="preserve"> самых насыщенных современными торговыми центрами городов в России. Показатель обеспеченности составляет 574 кв. м на 1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 xml:space="preserve">000 чел., объем торговых площадей в городе достиг 697,1 тыс. кв. м.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функционирует 11 торгово-развлекательных центр</w:t>
      </w:r>
      <w:r>
        <w:rPr>
          <w:sz w:val="28"/>
          <w:szCs w:val="28"/>
        </w:rPr>
        <w:t xml:space="preserve">ов, 22 гипермаркета, 72 торговых центра. Продолжается строительство административно-торгового центра с торгово-офисными помещениями и подземной автостоянкой на ул. Нестерова, площадью 9 703,7 кв. м (ввод в эксплуатацию запланирован в 2024 году).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Кроме тог</w:t>
      </w:r>
      <w:r>
        <w:rPr>
          <w:color w:val="000000" w:themeColor="text1"/>
          <w:sz w:val="28"/>
          <w:szCs w:val="28"/>
        </w:rPr>
        <w:t>о, в составе введенных в эксплуатацию и строящихся жилых комплексов предусмотрено размещение объектов коммерческой и социальной инфраструктуры, в т.ч. объектов сферы торговли и услуг.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Предприятия торговой сети города в настоящее время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обеспечивают  беспере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бойное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предложение товаров первой необходимости,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минимизируя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самым риски возникновения ажиотажного спроса среди населения.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 сфере торговли</w:t>
      </w:r>
      <w:r>
        <w:rPr>
          <w:color w:val="000000" w:themeColor="text1"/>
          <w:sz w:val="28"/>
          <w:szCs w:val="28"/>
        </w:rPr>
        <w:t xml:space="preserve"> происходят качественные изменения, уменьшается доля мелкооптовой и мелкорозничной торговли, при этом растет доля стационарной торговой сети. </w:t>
      </w:r>
      <w:r>
        <w:rPr>
          <w:sz w:val="28"/>
          <w:szCs w:val="28"/>
        </w:rPr>
        <w:t>Идут процессы экспансии крупных федеральных торговых сетей, открываются новые торговые предприятия с прогрессивным</w:t>
      </w:r>
      <w:r>
        <w:rPr>
          <w:sz w:val="28"/>
          <w:szCs w:val="28"/>
        </w:rPr>
        <w:t>и формами торговли. Значительный рост показывают магазины с самыми выгодными для покупателей ценами (сеть магазинов «Пятерочка», «Чижик», «</w:t>
      </w:r>
      <w:proofErr w:type="spellStart"/>
      <w:r>
        <w:rPr>
          <w:sz w:val="28"/>
          <w:szCs w:val="28"/>
        </w:rPr>
        <w:t>Smart</w:t>
      </w:r>
      <w:proofErr w:type="spellEnd"/>
      <w:r>
        <w:rPr>
          <w:sz w:val="28"/>
          <w:szCs w:val="28"/>
        </w:rPr>
        <w:t>» и другие).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Потребительский интерес перемещается в направлении онлайн-покупок, которые считаются наиболее эконо</w:t>
      </w:r>
      <w:r>
        <w:rPr>
          <w:sz w:val="28"/>
          <w:szCs w:val="28"/>
        </w:rPr>
        <w:t xml:space="preserve">мичными и выгодными. </w:t>
      </w:r>
      <w:r>
        <w:rPr>
          <w:color w:val="000000" w:themeColor="text1"/>
          <w:sz w:val="28"/>
          <w:szCs w:val="28"/>
        </w:rPr>
        <w:t xml:space="preserve">Все более популярными становятся </w:t>
      </w:r>
      <w:proofErr w:type="spellStart"/>
      <w:r>
        <w:rPr>
          <w:color w:val="000000" w:themeColor="text1"/>
          <w:sz w:val="28"/>
          <w:szCs w:val="28"/>
        </w:rPr>
        <w:t>маркетплейсы</w:t>
      </w:r>
      <w:proofErr w:type="spellEnd"/>
      <w:r>
        <w:rPr>
          <w:color w:val="000000" w:themeColor="text1"/>
          <w:sz w:val="28"/>
          <w:szCs w:val="28"/>
        </w:rPr>
        <w:t xml:space="preserve">: </w:t>
      </w:r>
      <w:proofErr w:type="spellStart"/>
      <w:r>
        <w:rPr>
          <w:color w:val="000000" w:themeColor="text1"/>
          <w:sz w:val="28"/>
          <w:szCs w:val="28"/>
        </w:rPr>
        <w:t>Wildberries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Ozon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Яндекс.Маркет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СберМегаМаркет</w:t>
      </w:r>
      <w:proofErr w:type="spellEnd"/>
      <w:r>
        <w:rPr>
          <w:color w:val="000000" w:themeColor="text1"/>
          <w:sz w:val="28"/>
          <w:szCs w:val="28"/>
        </w:rPr>
        <w:t>, которые планируют и в дальнейшем наращивать свой потенциал.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Возвращается популярность формата «магазина у дома», который является более пр</w:t>
      </w:r>
      <w:r>
        <w:rPr>
          <w:sz w:val="28"/>
          <w:szCs w:val="28"/>
        </w:rPr>
        <w:t xml:space="preserve">ивлекательным для покупателей, позволяя экономить время при совершении покупок.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2024 года оборот розничной торговли по крупным и средним предприятиям оценивается на уровне 369,1 млрд. рублей, что в сопоставимых ценах составит 103,6%.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прогнозн</w:t>
      </w:r>
      <w:r>
        <w:rPr>
          <w:rFonts w:ascii="Times New Roman" w:hAnsi="Times New Roman" w:cs="Times New Roman"/>
          <w:sz w:val="28"/>
          <w:szCs w:val="28"/>
        </w:rPr>
        <w:t>ом периоде ожидается укрепление позиций и удержание положительной динамики в пределах 103,2–105%. К 2027 году объем оборота розничной торговли по крупным и средним предприятиям увеличится до 466 млрд. рублей.</w:t>
      </w:r>
    </w:p>
    <w:p w:rsidR="00832A05" w:rsidRDefault="00832A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26380" cy="2773680"/>
                <wp:effectExtent l="19050" t="0" r="7620" b="0"/>
                <wp:docPr id="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326380" cy="277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9.40pt;height:218.40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</w:p>
    <w:p w:rsidR="00832A05" w:rsidRDefault="00832A05">
      <w:pPr>
        <w:ind w:firstLine="709"/>
        <w:jc w:val="both"/>
        <w:rPr>
          <w:color w:val="FF0000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Общественное питание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настоящее время услу</w:t>
      </w:r>
      <w:r>
        <w:rPr>
          <w:rFonts w:ascii="Times New Roman" w:hAnsi="Times New Roman" w:cs="Times New Roman"/>
          <w:color w:val="000000"/>
          <w:sz w:val="28"/>
          <w:szCs w:val="28"/>
        </w:rPr>
        <w:t>ги общественного питания на территории города Нижнего Новгорода предоставляют 1 458 предприятий общественного питания на 93 тыс. посадочных мест, в том числе: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904 ресторана, кафе и бара;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353 столовые учебных заведений, организаций, промышленных предприятий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общедоступная  столовая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закусочная и иные предприятия.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Фактическая обеспеченность населения города сетью общедоступных предприятий общественного питания составила 47 посадочных мест на 1 тысячу жителей или 117,1% от установленного норматива минималь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ной обеспеченности.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первом полугодии 2024 года открылись и начали деятельность 24 предприятия общественного питания с числом посадочных мест - 801.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сегменте потребительского рынка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продолжается  восстановительный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рост после заметного падения в </w:t>
      </w:r>
      <w:r>
        <w:rPr>
          <w:rFonts w:ascii="Times New Roman" w:hAnsi="Times New Roman" w:cs="Times New Roman"/>
          <w:sz w:val="28"/>
          <w:szCs w:val="28"/>
        </w:rPr>
        <w:t xml:space="preserve">2022 году, вызванного приостановкой деятельности крупных предприятий общественного питания в связи с введением санкционных ограничений. В 2024 году по оценке объем оборота общественного питания по крупным и средним организациям составит 13,5 млрд. рублей, </w:t>
      </w:r>
      <w:r>
        <w:rPr>
          <w:rFonts w:ascii="Times New Roman" w:hAnsi="Times New Roman" w:cs="Times New Roman"/>
          <w:sz w:val="28"/>
          <w:szCs w:val="28"/>
        </w:rPr>
        <w:t xml:space="preserve">что в сопоставимых ценах выше уровня предыдущего года на 36,4%. 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2025 по 2027 гг. ожидается рост </w:t>
      </w:r>
      <w:r>
        <w:rPr>
          <w:rFonts w:ascii="Times New Roman" w:hAnsi="Times New Roman" w:cs="Times New Roman"/>
          <w:color w:val="000000"/>
          <w:sz w:val="28"/>
          <w:szCs w:val="28"/>
        </w:rPr>
        <w:t>оборота общественного питания в пределах</w:t>
      </w:r>
      <w:r>
        <w:rPr>
          <w:rFonts w:ascii="Times New Roman" w:hAnsi="Times New Roman" w:cs="Times New Roman"/>
          <w:sz w:val="28"/>
          <w:szCs w:val="28"/>
        </w:rPr>
        <w:t xml:space="preserve"> 104–104,5% в сопоставимых ценах. К 2027 году объем оборота общественного питания по</w:t>
      </w:r>
      <w:r>
        <w:rPr>
          <w:rFonts w:ascii="Times New Roman" w:hAnsi="Times New Roman" w:cs="Times New Roman"/>
          <w:sz w:val="28"/>
          <w:szCs w:val="28"/>
        </w:rPr>
        <w:t xml:space="preserve"> крупным и средним организациям превысит 17 млрд. рублей.</w:t>
      </w:r>
    </w:p>
    <w:p w:rsidR="00832A05" w:rsidRDefault="00311484">
      <w:pPr>
        <w:ind w:firstLine="709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50180" cy="2834640"/>
                <wp:effectExtent l="19050" t="0" r="7620" b="0"/>
                <wp:docPr id="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250180" cy="283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3.40pt;height:223.20pt;mso-wrap-distance-left:0.00pt;mso-wrap-distance-top:0.00pt;mso-wrap-distance-right:0.00pt;mso-wrap-distance-bottom:0.00pt;" stroked="f" strokeweight="0.75pt">
                <v:path textboxrect="0,0,0,0"/>
                <v:imagedata r:id="rId27" o:title=""/>
              </v:shape>
            </w:pict>
          </mc:Fallback>
        </mc:AlternateContent>
      </w:r>
    </w:p>
    <w:p w:rsidR="00832A05" w:rsidRDefault="00832A05">
      <w:pPr>
        <w:ind w:firstLine="709"/>
        <w:jc w:val="both"/>
        <w:rPr>
          <w:bCs/>
          <w:color w:val="FF0000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Платные услуги</w:t>
      </w:r>
    </w:p>
    <w:p w:rsidR="00832A05" w:rsidRDefault="0031148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Нижнего Новгорода 1 760 предприятий бытового обслуживания населения на 7,8 тыс. рабочих мест.</w:t>
      </w:r>
    </w:p>
    <w:p w:rsidR="00832A05" w:rsidRDefault="0031148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обеспеченности населения города рабочими местами в предприятиях бытового обслуживания города Нижнего Новгорода составляет 6,3 рабочих мест на 1 тысячу жителей или 69,7% от установленного норматива (9 мест).</w:t>
      </w:r>
    </w:p>
    <w:p w:rsidR="00832A05" w:rsidRDefault="0031148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первое полугодие 2024 года начали деят</w:t>
      </w:r>
      <w:r>
        <w:rPr>
          <w:rFonts w:ascii="Times New Roman" w:hAnsi="Times New Roman" w:cs="Times New Roman"/>
          <w:sz w:val="28"/>
          <w:szCs w:val="28"/>
        </w:rPr>
        <w:t xml:space="preserve">ельность 15 предприятий бытового обслуживания на 35 рабочих мест.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7 месяцев текущего года среди платных услуг, занимающих значительную долю в общем объеме платных услуг, зафиксирован рост по следующим видам деятельности: медицинские услуги (116,9%), ус</w:t>
      </w:r>
      <w:r>
        <w:rPr>
          <w:sz w:val="28"/>
          <w:szCs w:val="28"/>
        </w:rPr>
        <w:t>луги телекоммуникационные (109,4%), услуги системы образования (109,1%).</w: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бытовых услуг (рост на 21,5%) положительной динамикой характеризуются следующие виды услуг: техническое обслуживание и ремонт транспортных средств, машин и оборудования; услуги по </w:t>
      </w:r>
      <w:r>
        <w:rPr>
          <w:rFonts w:ascii="Times New Roman" w:hAnsi="Times New Roman" w:cs="Times New Roman"/>
          <w:sz w:val="28"/>
          <w:szCs w:val="28"/>
        </w:rPr>
        <w:t>аренде, лизингу и прокату; ремонт и техническое обслуживание бытовой радиоэлектронной аппаратуры, бытовых машин и приборов, ремонт и изготовление металлоизделий.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видов платных услуг, занимающих незначительную долю в общем объеме платных услуг, наибол</w:t>
      </w:r>
      <w:r>
        <w:rPr>
          <w:sz w:val="28"/>
          <w:szCs w:val="28"/>
        </w:rPr>
        <w:t>ьший рост зафиксирован по видам деятельности: услуги учреждений культуры; услуги физической культуры и спорта.</w:t>
      </w:r>
    </w:p>
    <w:p w:rsidR="00832A05" w:rsidRDefault="00832A05">
      <w:pPr>
        <w:ind w:firstLine="709"/>
        <w:jc w:val="both"/>
        <w:rPr>
          <w:color w:val="000000" w:themeColor="text1"/>
          <w:sz w:val="28"/>
          <w:szCs w:val="28"/>
        </w:rPr>
      </w:pPr>
    </w:p>
    <w:p w:rsidR="00832A05" w:rsidRDefault="00311484">
      <w:pPr>
        <w:pStyle w:val="ConsPlusNormal"/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3600" cy="3223260"/>
                <wp:effectExtent l="19050" t="0" r="0" b="0"/>
                <wp:docPr id="9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360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8.00pt;height:253.80pt;mso-wrap-distance-left:0.00pt;mso-wrap-distance-top:0.00pt;mso-wrap-distance-right:0.00pt;mso-wrap-distance-bottom:0.00pt;" stroked="f" strokeweight="0.75pt">
                <v:path textboxrect="0,0,0,0"/>
                <v:imagedata r:id="rId29" o:title=""/>
              </v:shape>
            </w:pict>
          </mc:Fallback>
        </mc:AlternateContent>
      </w:r>
    </w:p>
    <w:p w:rsidR="00832A05" w:rsidRDefault="003114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платных услуг, оказанных населению крупными и средними организациями в 2024 году, оценивается на уровне 133,9 млрд. рублей, что в сопост</w:t>
      </w:r>
      <w:r>
        <w:rPr>
          <w:rFonts w:ascii="Times New Roman" w:hAnsi="Times New Roman" w:cs="Times New Roman"/>
          <w:sz w:val="28"/>
          <w:szCs w:val="28"/>
        </w:rPr>
        <w:t>авимых ценах составит 103% к уровню прошлого года. В период с 2025 по 2027 гг. темпы роста платных услуг, оказанных населению, прогнозируются в пределах 102,7</w:t>
      </w:r>
      <w:r>
        <w:rPr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103,7% (в сопоставимых ценах). К 2027 году объем платных услуг увеличится до 171 млрд. рублей.</w:t>
      </w:r>
    </w:p>
    <w:p w:rsidR="00832A05" w:rsidRDefault="00311484">
      <w:pPr>
        <w:pStyle w:val="ConsPlusNormal"/>
        <w:ind w:firstLine="709"/>
        <w:jc w:val="both"/>
        <w:rPr>
          <w:color w:val="FF000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196840" cy="3093720"/>
                <wp:effectExtent l="19050" t="0" r="3810" b="0"/>
                <wp:docPr id="1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196840" cy="309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09.20pt;height:243.60pt;mso-wrap-distance-left:0.00pt;mso-wrap-distance-top:0.00pt;mso-wrap-distance-right:0.00pt;mso-wrap-distance-bottom:0.00pt;" stroked="f" strokeweight="0.75pt">
                <v:path textboxrect="0,0,0,0"/>
                <v:imagedata r:id="rId31" o:title=""/>
              </v:shape>
            </w:pict>
          </mc:Fallback>
        </mc:AlternateConten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сферы потребительского рынка города будет продолжена реализация мероприятий муниципальной программы «Развитие малого и среднего предпринимательства в городе Нижнем Новгороде на 2023-2028 годы» по р</w:t>
      </w:r>
      <w:r>
        <w:rPr>
          <w:sz w:val="28"/>
          <w:szCs w:val="28"/>
          <w:shd w:val="clear" w:color="auto" w:fill="FFFFFF"/>
        </w:rPr>
        <w:t>азвитию инфраструктуры потребительского рынка,</w:t>
      </w:r>
      <w:r>
        <w:rPr>
          <w:sz w:val="28"/>
          <w:szCs w:val="28"/>
          <w:shd w:val="clear" w:color="auto" w:fill="FFFFFF"/>
        </w:rPr>
        <w:t xml:space="preserve"> обеспечению вариативности форм торговли, в том числе организации </w:t>
      </w:r>
      <w:proofErr w:type="spellStart"/>
      <w:r>
        <w:rPr>
          <w:sz w:val="28"/>
          <w:szCs w:val="28"/>
          <w:shd w:val="clear" w:color="auto" w:fill="FFFFFF"/>
        </w:rPr>
        <w:t>выставочно</w:t>
      </w:r>
      <w:proofErr w:type="spellEnd"/>
      <w:r>
        <w:rPr>
          <w:sz w:val="28"/>
          <w:szCs w:val="28"/>
          <w:shd w:val="clear" w:color="auto" w:fill="FFFFFF"/>
        </w:rPr>
        <w:t xml:space="preserve"> - ярмарочной деятельности и проведению фестивалей, а также д</w:t>
      </w:r>
      <w:r>
        <w:rPr>
          <w:sz w:val="28"/>
          <w:szCs w:val="28"/>
        </w:rPr>
        <w:t xml:space="preserve">альнейшему развитию системы малых торговых форматов - мобильной и нестационарной торговли, рынков и ярмарок, несетевых </w:t>
      </w:r>
      <w:r>
        <w:rPr>
          <w:sz w:val="28"/>
          <w:szCs w:val="28"/>
        </w:rPr>
        <w:t>магазинов.</w:t>
      </w:r>
    </w:p>
    <w:p w:rsidR="00832A05" w:rsidRDefault="00311484">
      <w:pPr>
        <w:pStyle w:val="ConsPlusNormal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3. Дем</w:t>
      </w:r>
      <w:r>
        <w:rPr>
          <w:rFonts w:ascii="Times New Roman" w:hAnsi="Times New Roman" w:cs="Times New Roman"/>
          <w:sz w:val="32"/>
          <w:szCs w:val="32"/>
        </w:rPr>
        <w:t>ографические тенденции, занятость и уровень жизни населения</w:t>
      </w:r>
    </w:p>
    <w:p w:rsidR="00832A05" w:rsidRDefault="00832A05">
      <w:pPr>
        <w:ind w:firstLine="709"/>
        <w:jc w:val="both"/>
        <w:rPr>
          <w:color w:val="000000" w:themeColor="text1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В последние годы в Нижнем Новгороде, как в целом </w:t>
      </w:r>
      <w:r>
        <w:rPr>
          <w:rFonts w:eastAsia="Times New Roman"/>
          <w:color w:val="000000" w:themeColor="text1"/>
          <w:sz w:val="28"/>
          <w:szCs w:val="28"/>
        </w:rPr>
        <w:t>по России,</w:t>
      </w:r>
      <w:r>
        <w:rPr>
          <w:rFonts w:eastAsia="Times New Roman"/>
          <w:color w:val="auto"/>
          <w:sz w:val="28"/>
          <w:szCs w:val="28"/>
        </w:rPr>
        <w:t xml:space="preserve"> сохраняется естественная убыль населения и в отсутствие ее компенсации миграционным сальдо фиксируется снижение численности населения города в целом. </w:t>
      </w:r>
      <w:r>
        <w:rPr>
          <w:rFonts w:eastAsia="Times New Roman"/>
          <w:color w:val="000000" w:themeColor="text1"/>
          <w:sz w:val="28"/>
          <w:szCs w:val="28"/>
        </w:rPr>
        <w:t>К началу 2024 года она составила 1228,7 тыс. человек.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В прогнозном периоде основные демографические риски</w:t>
      </w:r>
      <w:r>
        <w:rPr>
          <w:rFonts w:eastAsia="Times New Roman"/>
          <w:color w:val="auto"/>
          <w:sz w:val="28"/>
          <w:szCs w:val="28"/>
        </w:rPr>
        <w:t xml:space="preserve"> связаны с сохранением динамики снижения рождаемости (обусловленной трансформацией возрастного профиля материнства и уменьшением числа женщин репродуктивного возраста из-за спада рождаемости в 90-е годы), а также сохранением высоких показателей смертности </w:t>
      </w:r>
      <w:r>
        <w:rPr>
          <w:rFonts w:eastAsia="Times New Roman"/>
          <w:color w:val="auto"/>
          <w:sz w:val="28"/>
          <w:szCs w:val="28"/>
        </w:rPr>
        <w:t>в связи с усилением тенденции старения населения (в силу сложившихся особенностей возрастной структуры населения).</w:t>
      </w:r>
    </w:p>
    <w:p w:rsidR="00832A05" w:rsidRDefault="00311484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В настоящее время активно принимаются меры для стабилизации и улучшения демографической ситуации, в том числе в соответствии с целями и страт</w:t>
      </w:r>
      <w:r>
        <w:rPr>
          <w:rFonts w:eastAsia="Times New Roman"/>
          <w:color w:val="000000" w:themeColor="text1"/>
          <w:sz w:val="28"/>
          <w:szCs w:val="28"/>
        </w:rPr>
        <w:t xml:space="preserve">егическими задачами, предусмотренными указом Президента Российской Федерации от 07.05.2024 № 309 «О национальных целях развития Российской Федерации на период до 2030 года и на перспективу до 2036 года». Данные 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 xml:space="preserve">меры </w:t>
      </w:r>
      <w:r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должны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 xml:space="preserve"> быть реализованы на территории г</w:t>
      </w:r>
      <w:r>
        <w:rPr>
          <w:rFonts w:eastAsia="Times New Roman"/>
          <w:color w:val="000000" w:themeColor="text1"/>
          <w:sz w:val="28"/>
          <w:szCs w:val="28"/>
        </w:rPr>
        <w:t>орода, в том числе в рамках действующих национальных проектов</w:t>
      </w:r>
      <w:r>
        <w:rPr>
          <w:rFonts w:eastAsia="Times New Roman"/>
          <w:color w:val="FF0000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«Демография» и «Здравоохранение» и новых</w:t>
      </w:r>
      <w:r>
        <w:rPr>
          <w:rFonts w:eastAsia="Times New Roman"/>
          <w:color w:val="FF0000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 xml:space="preserve">национальных проектов: «Семья», «Молодежь и дети», «Продолжительная и активная жизнь». В частности, они </w:t>
      </w:r>
      <w:r>
        <w:rPr>
          <w:rFonts w:eastAsia="Times New Roman"/>
          <w:color w:val="auto"/>
          <w:sz w:val="28"/>
          <w:szCs w:val="28"/>
        </w:rPr>
        <w:t>предусматривают: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реализацию механизма финансовой </w:t>
      </w:r>
      <w:r>
        <w:rPr>
          <w:rFonts w:eastAsia="Times New Roman"/>
          <w:color w:val="auto"/>
          <w:sz w:val="28"/>
          <w:szCs w:val="28"/>
        </w:rPr>
        <w:t>поддержки семей при рождении детей (в т.ч. предоставление материнского (семейного) капитала при рождении первого (с 2020 года) и последующих детей);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создание условий для осуществления трудовой деятельности женщин, имеющих детей, в т.ч. за счет повышения доступности дошкольного образования для детей в возрасте до трех лет;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развитие детского здравоохранения, включая создание современной инфраструктуры ок</w:t>
      </w:r>
      <w:r>
        <w:rPr>
          <w:rFonts w:eastAsia="Times New Roman"/>
          <w:color w:val="auto"/>
          <w:sz w:val="28"/>
          <w:szCs w:val="28"/>
        </w:rPr>
        <w:t>азания медицинской помощи детям;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внедрение инновационных медицинских технологий, включая систему ранней диагностики и дистанционный мониторинг состояния здоровья пациентов;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реализацию программ борьбы с онкологическими и сердечно-сосудистыми заболеваниями;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системную поддержку и повышение качества жизни граждан старшего поколения;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формирование системы мотивации граждан к здоровому образу жизни, включая здоровое питание и отказ от вредных привычек;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создание для всех категорий и групп населения условий для зан</w:t>
      </w:r>
      <w:r>
        <w:rPr>
          <w:rFonts w:eastAsia="Times New Roman"/>
          <w:color w:val="auto"/>
          <w:sz w:val="28"/>
          <w:szCs w:val="28"/>
        </w:rPr>
        <w:t>ятий физической культурой и спортом, массовым спортом, в том числе повышение уровня обеспеченности населения объектами спорта и т.п.</w:t>
      </w:r>
    </w:p>
    <w:p w:rsidR="00832A05" w:rsidRDefault="00311484">
      <w:pPr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sz w:val="28"/>
          <w:szCs w:val="28"/>
          <w:lang w:eastAsia="zh-CN"/>
        </w:rPr>
        <w:t xml:space="preserve">В соответствии с поручением Президента Российской Федерации </w:t>
      </w:r>
      <w:r>
        <w:rPr>
          <w:rFonts w:eastAsia="Times New Roman"/>
          <w:color w:val="000000" w:themeColor="text1"/>
          <w:sz w:val="28"/>
          <w:szCs w:val="28"/>
          <w:lang w:eastAsia="zh-CN"/>
        </w:rPr>
        <w:t>действует</w:t>
      </w:r>
      <w:r>
        <w:rPr>
          <w:rFonts w:eastAsia="Times New Roman"/>
          <w:color w:val="FF0000"/>
          <w:sz w:val="28"/>
          <w:szCs w:val="28"/>
          <w:lang w:eastAsia="zh-CN"/>
        </w:rPr>
        <w:t xml:space="preserve"> </w:t>
      </w:r>
      <w:r>
        <w:rPr>
          <w:rFonts w:eastAsia="Times New Roman"/>
          <w:sz w:val="28"/>
          <w:szCs w:val="28"/>
          <w:lang w:eastAsia="zh-CN"/>
        </w:rPr>
        <w:t>единое ежемесячное пособие в связи с рождением и восп</w:t>
      </w:r>
      <w:r>
        <w:rPr>
          <w:rFonts w:eastAsia="Times New Roman"/>
          <w:sz w:val="28"/>
          <w:szCs w:val="28"/>
          <w:lang w:eastAsia="zh-CN"/>
        </w:rPr>
        <w:t xml:space="preserve">итанием ребенка, которое объединило 5 действующих мер поддержки. </w:t>
      </w:r>
      <w:r>
        <w:rPr>
          <w:rFonts w:eastAsia="Times New Roman"/>
          <w:color w:val="auto"/>
          <w:sz w:val="28"/>
          <w:szCs w:val="28"/>
          <w:lang w:eastAsia="zh-CN"/>
        </w:rPr>
        <w:t xml:space="preserve">Право на ежемесячное пособие в связи </w:t>
      </w:r>
      <w:r>
        <w:rPr>
          <w:rFonts w:eastAsia="Times New Roman"/>
          <w:color w:val="auto"/>
          <w:sz w:val="28"/>
          <w:szCs w:val="28"/>
          <w:lang w:eastAsia="zh-CN"/>
        </w:rPr>
        <w:lastRenderedPageBreak/>
        <w:t>с рождением и воспитанием ребёнка приобретут беременные женщины, лица, имеющие детей в возрасте до 17 лет, в случае если эти граждане и их дети являются г</w:t>
      </w:r>
      <w:r>
        <w:rPr>
          <w:rFonts w:eastAsia="Times New Roman"/>
          <w:color w:val="auto"/>
          <w:sz w:val="28"/>
          <w:szCs w:val="28"/>
          <w:lang w:eastAsia="zh-CN"/>
        </w:rPr>
        <w:t xml:space="preserve">ражданами Российской Федерации, постоянно проживают на территории Российской Федерации и размер среднедушевого дохода семьи не превышает величину </w:t>
      </w:r>
      <w:proofErr w:type="gramStart"/>
      <w:r>
        <w:rPr>
          <w:rFonts w:eastAsia="Times New Roman"/>
          <w:color w:val="auto"/>
          <w:sz w:val="28"/>
          <w:szCs w:val="28"/>
          <w:lang w:eastAsia="zh-CN"/>
        </w:rPr>
        <w:t>прожиточного минимума</w:t>
      </w:r>
      <w:proofErr w:type="gramEnd"/>
      <w:r>
        <w:rPr>
          <w:rFonts w:eastAsia="Times New Roman"/>
          <w:color w:val="auto"/>
          <w:sz w:val="28"/>
          <w:szCs w:val="28"/>
          <w:lang w:eastAsia="zh-CN"/>
        </w:rPr>
        <w:t xml:space="preserve"> установленного в Нижегородской области.</w:t>
      </w:r>
    </w:p>
    <w:p w:rsidR="00832A05" w:rsidRDefault="00311484">
      <w:pPr>
        <w:ind w:firstLine="709"/>
        <w:jc w:val="both"/>
        <w:outlineLvl w:val="8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Дополнительной мерой социальной поддержки являет</w:t>
      </w:r>
      <w:r>
        <w:rPr>
          <w:rFonts w:eastAsia="Times New Roman"/>
          <w:color w:val="auto"/>
          <w:sz w:val="28"/>
          <w:szCs w:val="28"/>
        </w:rPr>
        <w:t>ся также обеспечение всех школьников начальных классов бесплатным питанием.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zh-CN"/>
        </w:rPr>
        <w:t xml:space="preserve">Кроме того, на региональном уровне для повышения рождаемости и стимулирования многодетности и поддержки семей реализуются дополнительные меры поддержки, такие как: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zh-CN"/>
        </w:rPr>
        <w:t>ежемесячная рег</w:t>
      </w:r>
      <w:r>
        <w:rPr>
          <w:rFonts w:eastAsia="Times New Roman"/>
          <w:color w:val="auto"/>
          <w:sz w:val="28"/>
          <w:szCs w:val="28"/>
          <w:lang w:eastAsia="zh-CN"/>
        </w:rPr>
        <w:t xml:space="preserve">иональная денежная выплата при рождении третьего ребенка или последующих детей до достижения ребенком возраста трех лет;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zh-CN"/>
        </w:rPr>
        <w:t xml:space="preserve">региональный материнский (семейный) капитал;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zh-CN"/>
        </w:rPr>
        <w:t xml:space="preserve">ежемесячная денежная выплата на обеспечение питанием и ежегодная единовременная денежная выплата к началу учебного года на детей из малоимущих семей, обучающихся в государственных и муниципальных общеобразовательных учреждениях и др. </w:t>
      </w:r>
    </w:p>
    <w:p w:rsidR="00832A05" w:rsidRDefault="00311484">
      <w:pPr>
        <w:ind w:firstLine="709"/>
        <w:jc w:val="both"/>
        <w:outlineLvl w:val="8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Для решения демографи</w:t>
      </w:r>
      <w:r>
        <w:rPr>
          <w:rFonts w:eastAsia="Times New Roman"/>
          <w:color w:val="auto"/>
          <w:sz w:val="28"/>
          <w:szCs w:val="28"/>
        </w:rPr>
        <w:t>ческих проблем реализуются также различные инструменты содействия семьям с детьми в целях улучшения жилищных условий и повышения доступности жилья. Так, например, продлена до 2030 года программа льготного ипотечного кредитования для семей с детьми, в рамка</w:t>
      </w:r>
      <w:r>
        <w:rPr>
          <w:rFonts w:eastAsia="Times New Roman"/>
          <w:color w:val="auto"/>
          <w:sz w:val="28"/>
          <w:szCs w:val="28"/>
        </w:rPr>
        <w:t>х которой возможно получение кредита по ставке 6% годовых на весь срок кредита (займа).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В целях поддержки семей и сохранения традиционных семейных 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>ценностей  2024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 xml:space="preserve"> год объявлен Годом семьи. Формируется положительный образ многодетной семьи через культуру и </w:t>
      </w:r>
      <w:r>
        <w:rPr>
          <w:rFonts w:eastAsia="Times New Roman"/>
          <w:color w:val="000000" w:themeColor="text1"/>
          <w:sz w:val="28"/>
          <w:szCs w:val="28"/>
        </w:rPr>
        <w:t xml:space="preserve">искусство, средства массовой информации, Интернет. 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результате реализации данных мероприятий прогнозируется создание благоприятных условий для стабилизации рождаемости, снижения показателей смертности населения, в том числе в трудоспособном возрасте, ув</w:t>
      </w:r>
      <w:r>
        <w:rPr>
          <w:rFonts w:eastAsia="Times New Roman"/>
          <w:sz w:val="28"/>
          <w:szCs w:val="28"/>
        </w:rPr>
        <w:t xml:space="preserve">еличения ожидаемой продолжительности здоровой жизни. </w:t>
      </w:r>
    </w:p>
    <w:p w:rsidR="00832A05" w:rsidRDefault="00832A05">
      <w:pPr>
        <w:ind w:firstLine="709"/>
        <w:jc w:val="both"/>
        <w:rPr>
          <w:sz w:val="28"/>
          <w:szCs w:val="28"/>
        </w:rPr>
      </w:pPr>
    </w:p>
    <w:p w:rsidR="00832A05" w:rsidRDefault="00311484">
      <w:pPr>
        <w:ind w:firstLine="425"/>
        <w:jc w:val="both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859485" cy="3759445"/>
                <wp:effectExtent l="4762" t="4762" r="4762" b="4762"/>
                <wp:docPr id="11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9148070" name="_x0000_i0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859484" cy="3759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1.38pt;height:296.02pt;mso-wrap-distance-left:0.00pt;mso-wrap-distance-top:0.00pt;mso-wrap-distance-right:0.00pt;mso-wrap-distance-bottom:0.00pt;" stroked="f" strokeweight="0.75pt">
                <v:path textboxrect="0,0,0,0"/>
                <v:imagedata r:id="rId33" o:title=""/>
              </v:shape>
            </w:pict>
          </mc:Fallback>
        </mc:AlternateContent>
      </w:r>
    </w:p>
    <w:p w:rsidR="00832A05" w:rsidRDefault="00832A05">
      <w:pPr>
        <w:jc w:val="both"/>
        <w:rPr>
          <w:color w:val="FF0000"/>
          <w:sz w:val="28"/>
          <w:szCs w:val="28"/>
        </w:rPr>
      </w:pP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Фактором компенсации естественной убыли населения является миграционный прирост, который может быть обеспечен за счет привлечения на постоянное место жительства востребованных специалистов и молодеж</w:t>
      </w:r>
      <w:r>
        <w:rPr>
          <w:rFonts w:eastAsia="Times New Roman"/>
          <w:color w:val="000000" w:themeColor="text1"/>
          <w:sz w:val="28"/>
          <w:szCs w:val="28"/>
        </w:rPr>
        <w:t>и с учетом имеющихся потребностей демографического и экономического развития.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 xml:space="preserve">Величина миграционного сальдо будет обусловлена эффективностью реализации мер, предусмотренных Концепцией государственной миграционной политики РФ на 2019-2025 гг., утвержденной </w:t>
      </w:r>
      <w:r>
        <w:rPr>
          <w:rFonts w:eastAsia="Times New Roman"/>
          <w:color w:val="000000" w:themeColor="text1"/>
          <w:sz w:val="28"/>
          <w:szCs w:val="28"/>
        </w:rPr>
        <w:t xml:space="preserve">Указом Президента РФ от 31.10.2018 № 622. 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С 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>учетом  мероприятий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>, реализуемых в целях улучшения демографической ситуации, в прогнозном периоде ожидается замедление снижения численности населения города - к началу 2027 году она оценивается на уровне 1 213,1</w:t>
      </w:r>
      <w:r>
        <w:rPr>
          <w:rFonts w:eastAsia="Times New Roman"/>
          <w:color w:val="000000" w:themeColor="text1"/>
          <w:sz w:val="28"/>
          <w:szCs w:val="28"/>
        </w:rPr>
        <w:t xml:space="preserve"> тыс. человек. 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На формирование трудовых ресурсов города в среднесрочной перспективе будет продолжать оказывать позитивное влияние поэтапное повышение пенсионного возраста. </w:t>
      </w:r>
    </w:p>
    <w:p w:rsidR="00832A05" w:rsidRDefault="00311484">
      <w:pPr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6000773" cy="3821975"/>
                <wp:effectExtent l="4762" t="4762" r="4762" b="4762"/>
                <wp:docPr id="1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2885264" name="Picture 3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000772" cy="3821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2.50pt;height:300.94pt;mso-wrap-distance-left:0.00pt;mso-wrap-distance-top:0.00pt;mso-wrap-distance-right:0.00pt;mso-wrap-distance-bottom:0.00pt;" stroked="f" strokeweight="0.75pt">
                <v:path textboxrect="0,0,0,0"/>
                <v:imagedata r:id="rId35" o:title=""/>
              </v:shape>
            </w:pict>
          </mc:Fallback>
        </mc:AlternateContent>
      </w:r>
    </w:p>
    <w:p w:rsidR="00832A05" w:rsidRDefault="00311484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Компенсация выбывающих трудовых ресурсов позволит обеспечить в ближайшие годы ус</w:t>
      </w:r>
      <w:r>
        <w:rPr>
          <w:rFonts w:eastAsia="Times New Roman"/>
          <w:color w:val="000000" w:themeColor="text1"/>
          <w:sz w:val="28"/>
          <w:szCs w:val="28"/>
        </w:rPr>
        <w:t>тойчивый рост численности населения трудоспособного возраста, создавая необходимые условия для стабилизации численности занятых в экономике города.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inline distT="0" distB="0" distL="0" distR="0">
                <wp:extent cx="5343525" cy="2759075"/>
                <wp:effectExtent l="19050" t="0" r="9525" b="0"/>
                <wp:docPr id="13" name="Рисунок 2" descr="C:\Users\naumova\Pictures\Новый рисунок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naumova\Pictures\Новый рисунок (2).png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343525" cy="275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20.75pt;height:217.25pt;mso-wrap-distance-left:0.00pt;mso-wrap-distance-top:0.00pt;mso-wrap-distance-right:0.00pt;mso-wrap-distance-bottom:0.00pt;" stroked="f" strokeweight="0.75pt">
                <v:path textboxrect="0,0,0,0"/>
                <v:imagedata r:id="rId37" o:title=""/>
              </v:shape>
            </w:pict>
          </mc:Fallback>
        </mc:AlternateContent>
      </w:r>
    </w:p>
    <w:p w:rsidR="00832A05" w:rsidRDefault="00832A05">
      <w:pPr>
        <w:ind w:firstLine="709"/>
        <w:jc w:val="both"/>
        <w:rPr>
          <w:color w:val="000000" w:themeColor="text1"/>
          <w:sz w:val="28"/>
          <w:szCs w:val="28"/>
        </w:rPr>
      </w:pP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В 2024 году численность занятых в экономике города оценивается на уровне 608 тыс. чел., в прогнозируемом периоде (к 2027 году) численность занятых ожидается на уровне 610,8 тыс. человек.</w:t>
      </w:r>
    </w:p>
    <w:p w:rsidR="00832A05" w:rsidRDefault="00311484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Секторами наибольшего притяжения занятости будут по-прежнему оставать</w:t>
      </w:r>
      <w:r>
        <w:rPr>
          <w:rFonts w:eastAsia="Times New Roman"/>
          <w:color w:val="000000" w:themeColor="text1"/>
          <w:sz w:val="28"/>
          <w:szCs w:val="28"/>
        </w:rPr>
        <w:t>ся «торговля оптовая и розничная» и «обрабатывающие производства».</w:t>
      </w:r>
    </w:p>
    <w:p w:rsidR="00832A05" w:rsidRDefault="00311484">
      <w:pPr>
        <w:widowControl w:val="0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6305550" cy="4048125"/>
                <wp:effectExtent l="19050" t="0" r="0" b="0"/>
                <wp:docPr id="1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305550" cy="404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6.50pt;height:318.75pt;mso-wrap-distance-left:0.00pt;mso-wrap-distance-top:0.00pt;mso-wrap-distance-right:0.00pt;mso-wrap-distance-bottom:0.00pt;" stroked="f" strokeweight="0.75pt">
                <v:path textboxrect="0,0,0,0"/>
                <v:imagedata r:id="rId39" o:title=""/>
              </v:shape>
            </w:pict>
          </mc:Fallback>
        </mc:AlternateContent>
      </w:r>
    </w:p>
    <w:p w:rsidR="00832A05" w:rsidRDefault="00832A05">
      <w:pPr>
        <w:widowControl w:val="0"/>
        <w:jc w:val="both"/>
        <w:rPr>
          <w:color w:val="FF0000"/>
          <w:sz w:val="18"/>
          <w:szCs w:val="18"/>
        </w:rPr>
      </w:pPr>
    </w:p>
    <w:p w:rsidR="00832A05" w:rsidRDefault="00311484">
      <w:pPr>
        <w:tabs>
          <w:tab w:val="left" w:pos="3544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К концу текущего года в Нижнем Новгороде по оценке реальная заработная составит 14,8% (в РФ – 9,2%)</w:t>
      </w:r>
      <w:r>
        <w:rPr>
          <w:rFonts w:eastAsia="Times New Roman"/>
          <w:color w:val="auto"/>
          <w:sz w:val="28"/>
          <w:szCs w:val="28"/>
        </w:rPr>
        <w:t>.</w:t>
      </w:r>
      <w:r>
        <w:rPr>
          <w:rFonts w:eastAsia="Times New Roman"/>
          <w:color w:val="FF0000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 xml:space="preserve">Размер среднемесячной заработной платы в целом по городу оценивается на уровне 80,1 тыс. руб. </w:t>
      </w:r>
    </w:p>
    <w:p w:rsidR="00832A05" w:rsidRDefault="00311484">
      <w:pPr>
        <w:tabs>
          <w:tab w:val="left" w:pos="3544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Принимая во внимание сформировавшуюся динамику среднемесячной заработной платы на крупных и средних предприятиях города по итогам 7 мес. 2024 года, прогнозируетс</w:t>
      </w:r>
      <w:r>
        <w:rPr>
          <w:rFonts w:eastAsia="Times New Roman"/>
          <w:color w:val="auto"/>
          <w:sz w:val="28"/>
          <w:szCs w:val="28"/>
        </w:rPr>
        <w:t>я, что к концу года уровень заработной платы в «деятельности в области информации и связи», «деятельности профессиональной, научной и технической», «деятельности финансовой и страховой», «строительстве» традиционно сложится существенно выше среднего значен</w:t>
      </w:r>
      <w:r>
        <w:rPr>
          <w:rFonts w:eastAsia="Times New Roman"/>
          <w:color w:val="auto"/>
          <w:sz w:val="28"/>
          <w:szCs w:val="28"/>
        </w:rPr>
        <w:t>ия по экономике. Превысит среднее значение также заработная плата в «деятельности в области культуры, спорта, организации досуга и развлечений», «обеспечении электрической энергией, газом и паром, кондиционировании воздуха» и «обрабатывающих производствах»</w:t>
      </w:r>
      <w:r>
        <w:rPr>
          <w:rFonts w:eastAsia="Times New Roman"/>
          <w:color w:val="auto"/>
          <w:sz w:val="28"/>
          <w:szCs w:val="28"/>
        </w:rPr>
        <w:t xml:space="preserve">. </w:t>
      </w:r>
    </w:p>
    <w:p w:rsidR="00832A05" w:rsidRDefault="00311484">
      <w:pPr>
        <w:tabs>
          <w:tab w:val="left" w:pos="3544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В прочих видах экономической деятельности значение среднемесячной заработной платы оценивается ниже среднего значения по экономике. </w:t>
      </w:r>
    </w:p>
    <w:p w:rsidR="00832A05" w:rsidRDefault="00832A05">
      <w:pPr>
        <w:tabs>
          <w:tab w:val="left" w:pos="3544"/>
        </w:tabs>
        <w:ind w:firstLine="709"/>
        <w:jc w:val="both"/>
        <w:rPr>
          <w:sz w:val="28"/>
          <w:szCs w:val="28"/>
        </w:rPr>
      </w:pPr>
    </w:p>
    <w:p w:rsidR="00832A05" w:rsidRDefault="00311484">
      <w:pPr>
        <w:widowControl w:val="0"/>
        <w:tabs>
          <w:tab w:val="left" w:pos="3544"/>
        </w:tabs>
        <w:ind w:firstLine="425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43600" cy="4229100"/>
                <wp:effectExtent l="19050" t="0" r="0" b="0"/>
                <wp:docPr id="1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943600" cy="422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8.00pt;height:333.00pt;mso-wrap-distance-left:0.00pt;mso-wrap-distance-top:0.00pt;mso-wrap-distance-right:0.00pt;mso-wrap-distance-bottom:0.00pt;" stroked="f" strokeweight="0.75pt">
                <v:path textboxrect="0,0,0,0"/>
                <v:imagedata r:id="rId41" o:title=""/>
              </v:shape>
            </w:pict>
          </mc:Fallback>
        </mc:AlternateContent>
      </w:r>
    </w:p>
    <w:p w:rsidR="00832A05" w:rsidRDefault="00311484">
      <w:pPr>
        <w:widowControl w:val="0"/>
        <w:tabs>
          <w:tab w:val="left" w:pos="3544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В 2025 – 2027 гг. ожидается положительная динамика реальной 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 xml:space="preserve">заработной </w:t>
      </w:r>
      <w:r>
        <w:rPr>
          <w:rFonts w:eastAsia="Times New Roman"/>
          <w:sz w:val="28"/>
          <w:szCs w:val="28"/>
        </w:rPr>
        <w:t xml:space="preserve"> платы</w:t>
      </w:r>
      <w:proofErr w:type="gram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на уровне 104,1-107,7%. Размер среднеме</w:t>
      </w:r>
      <w:r>
        <w:rPr>
          <w:rFonts w:eastAsia="Times New Roman"/>
          <w:color w:val="000000" w:themeColor="text1"/>
          <w:sz w:val="28"/>
          <w:szCs w:val="28"/>
        </w:rPr>
        <w:t>сячной заработной платы прогнозируется на уровне 91,3-109,2 тыс. рублей.</w:t>
      </w:r>
    </w:p>
    <w:p w:rsidR="00832A05" w:rsidRDefault="00832A05">
      <w:pPr>
        <w:rPr>
          <w:sz w:val="28"/>
          <w:szCs w:val="28"/>
        </w:rPr>
      </w:pPr>
    </w:p>
    <w:p w:rsidR="00832A05" w:rsidRDefault="00311484">
      <w:pPr>
        <w:ind w:firstLine="709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4. Основные тенденции развития социальной сферы города Нижнего Новгорода</w:t>
      </w:r>
    </w:p>
    <w:p w:rsidR="00832A05" w:rsidRDefault="00832A05">
      <w:pPr>
        <w:ind w:firstLine="709"/>
        <w:jc w:val="center"/>
        <w:rPr>
          <w:b/>
          <w:bCs/>
          <w:color w:val="auto"/>
          <w:sz w:val="28"/>
          <w:szCs w:val="28"/>
        </w:rPr>
      </w:pP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прогнозном периоде развитие социальной сферы будет определяться с учетом необходимости достижения целевых </w:t>
      </w:r>
      <w:r>
        <w:rPr>
          <w:sz w:val="28"/>
          <w:szCs w:val="28"/>
        </w:rPr>
        <w:t xml:space="preserve">показателей и решения стратегических задач, определенных Указом Президента Российской Федерации от 07.05.2024 № 309 «О национальных целях развития Российской Федерации на период до 2036 года».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мероприятия в сфере образования будут </w:t>
      </w:r>
      <w:proofErr w:type="gramStart"/>
      <w:r>
        <w:rPr>
          <w:sz w:val="28"/>
          <w:szCs w:val="28"/>
        </w:rPr>
        <w:t>реализовываться</w:t>
      </w:r>
      <w:r>
        <w:rPr>
          <w:sz w:val="28"/>
          <w:szCs w:val="28"/>
        </w:rPr>
        <w:t xml:space="preserve">  в</w:t>
      </w:r>
      <w:proofErr w:type="gramEnd"/>
      <w:r>
        <w:rPr>
          <w:sz w:val="28"/>
          <w:szCs w:val="28"/>
        </w:rPr>
        <w:t xml:space="preserve"> рамках муниципальной программы «Развитие образования в городе Нижнем Новгороде на 2023-2028 годы».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Дошкольное образование. 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Нижнего Новгорода программу дошкольного образования реализуют 328 образовательных организаций, количество д</w:t>
      </w:r>
      <w:r>
        <w:rPr>
          <w:sz w:val="28"/>
          <w:szCs w:val="28"/>
        </w:rPr>
        <w:t>етей, посещающих дошкольные образовательные организации города – 65 190 человек.</w:t>
      </w:r>
    </w:p>
    <w:p w:rsidR="00832A05" w:rsidRDefault="00311484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Обучение воспитанников осуществляется в 2 876 группах различной направленности: общеразвивающей, оздоровительной, компенсирующей и комбинированной.</w:t>
      </w:r>
    </w:p>
    <w:p w:rsidR="00832A05" w:rsidRDefault="003114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86 муниципальных дошкольных образовательных организациях города 113 групп перепрофилировано в группы различной направленности для детей с </w:t>
      </w:r>
      <w:r>
        <w:rPr>
          <w:sz w:val="28"/>
        </w:rPr>
        <w:lastRenderedPageBreak/>
        <w:t>ограниченными возможностями здоровья</w:t>
      </w:r>
      <w:r>
        <w:rPr>
          <w:sz w:val="28"/>
          <w:szCs w:val="28"/>
        </w:rPr>
        <w:t xml:space="preserve">, воспитанники которых обучаются по адаптированным образовательным программам с </w:t>
      </w:r>
      <w:r>
        <w:rPr>
          <w:sz w:val="28"/>
          <w:szCs w:val="28"/>
        </w:rPr>
        <w:t>учетом их индивидуальных особенностей.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детских садах функционируют 162 консультационных центра, оказывающих бесплатную методическую,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>–педагогическую, диагностическую и консультативную помощь семьям, воспитывающим детей в форме семейного воспитан</w:t>
      </w:r>
      <w:r>
        <w:rPr>
          <w:sz w:val="28"/>
          <w:szCs w:val="28"/>
        </w:rPr>
        <w:t>ия.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1 полугодия 2024 года в 247 дошкольных организациях реализовывались платные услуги, что позволяет внедрять современные программы образования и продукты инновационной деятельности для воспитания и развития детей.</w:t>
      </w:r>
    </w:p>
    <w:p w:rsidR="00832A05" w:rsidRDefault="00311484">
      <w:pPr>
        <w:pStyle w:val="docdata"/>
        <w:widowControl w:val="0"/>
        <w:pBdr>
          <w:bottom w:val="single" w:sz="4" w:space="0" w:color="FFFFFF"/>
        </w:pBd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текущем учебном году на база</w:t>
      </w:r>
      <w:r>
        <w:rPr>
          <w:color w:val="000000"/>
          <w:sz w:val="28"/>
          <w:szCs w:val="28"/>
        </w:rPr>
        <w:t>х детских садов продолжили функционировать 76 региональных экспериментальных площадок</w:t>
      </w:r>
      <w:r>
        <w:rPr>
          <w:sz w:val="28"/>
          <w:szCs w:val="28"/>
        </w:rPr>
        <w:t>, 41 региональная стажерская площадка, также участниками федеральных площадок являются 28 учреждений. Организация инновационной деятельности в детских садах позволяет в ре</w:t>
      </w:r>
      <w:r>
        <w:rPr>
          <w:sz w:val="28"/>
          <w:szCs w:val="28"/>
        </w:rPr>
        <w:t xml:space="preserve">жиме реального времени осуществлять научно-методическое сопровождение, обмениваться инновационным и авторским опытом педагогических и руководящих работников, изучать и внедрять передовой педагогический опыт. 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2024 года на базе детских садов также</w:t>
      </w:r>
      <w:r>
        <w:rPr>
          <w:sz w:val="28"/>
          <w:szCs w:val="28"/>
        </w:rPr>
        <w:t xml:space="preserve"> созданы 3 городских ресурсных центра, целью которых является распространение перспективного педагогического опыта. </w:t>
      </w:r>
    </w:p>
    <w:p w:rsidR="00832A05" w:rsidRDefault="00311484">
      <w:pPr>
        <w:ind w:firstLine="709"/>
        <w:jc w:val="both"/>
      </w:pPr>
      <w:r>
        <w:rPr>
          <w:sz w:val="28"/>
          <w:szCs w:val="28"/>
        </w:rPr>
        <w:t>В городе поддерживается высокий профессиональный уровень педагогических работников. В настоя</w:t>
      </w:r>
      <w:r>
        <w:rPr>
          <w:sz w:val="28"/>
          <w:szCs w:val="28"/>
        </w:rPr>
        <w:t xml:space="preserve">щее время в дошкольных образовательных организациях 6 663 педагогических и руководящих работников, из них </w:t>
      </w:r>
      <w:r>
        <w:rPr>
          <w:color w:val="000000" w:themeColor="text1"/>
          <w:sz w:val="28"/>
          <w:szCs w:val="28"/>
        </w:rPr>
        <w:t xml:space="preserve">педагогических </w:t>
      </w:r>
      <w:r>
        <w:rPr>
          <w:b/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6 073 человек. Из общего количества педагогических работников дошкольных образовательных учреждений высшее образование и среднее проф</w:t>
      </w:r>
      <w:r>
        <w:rPr>
          <w:color w:val="000000" w:themeColor="text1"/>
          <w:sz w:val="28"/>
          <w:szCs w:val="28"/>
        </w:rPr>
        <w:t xml:space="preserve">ессиональное образование имеют 5 905 человек. </w:t>
      </w:r>
      <w:r>
        <w:rPr>
          <w:sz w:val="28"/>
          <w:szCs w:val="28"/>
        </w:rPr>
        <w:t xml:space="preserve">82,6% педагогов аттестовано на квалификационные категории. 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направлениями деятельности дошкольного образования в 2025 – 2027 гг. будут являться: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</w:pPr>
      <w:r>
        <w:rPr>
          <w:sz w:val="28"/>
        </w:rPr>
        <w:tab/>
        <w:t>обеспечение 100% доступности и повышение качества дошк</w:t>
      </w:r>
      <w:r>
        <w:rPr>
          <w:sz w:val="28"/>
        </w:rPr>
        <w:t xml:space="preserve">ольного образования для всех категорий потребителей услуг, в т.ч. за счет строительства новых дошкольных учреждений на территории развивающихся жилых комплексов города; 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sz w:val="28"/>
          <w:szCs w:val="28"/>
        </w:rPr>
      </w:pPr>
      <w:r>
        <w:tab/>
      </w:r>
      <w:r>
        <w:rPr>
          <w:sz w:val="28"/>
        </w:rPr>
        <w:t>выявление и распространение лучших муниципальных практик, направленных на повышение п</w:t>
      </w:r>
      <w:r>
        <w:rPr>
          <w:sz w:val="28"/>
        </w:rPr>
        <w:t>рофессионального статуса педагогических работников дошкольного образования;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sz w:val="28"/>
        </w:rPr>
      </w:pPr>
      <w:r>
        <w:tab/>
      </w:r>
      <w:r>
        <w:rPr>
          <w:sz w:val="28"/>
        </w:rPr>
        <w:t>обеспечение доступности и качества дошкольного образования для детей с ограниченными возможностями здоровья;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sz w:val="28"/>
          <w:szCs w:val="28"/>
        </w:rPr>
      </w:pPr>
      <w:r>
        <w:rPr>
          <w:sz w:val="28"/>
        </w:rPr>
        <w:tab/>
      </w:r>
      <w:r>
        <w:rPr>
          <w:sz w:val="28"/>
          <w:szCs w:val="28"/>
        </w:rPr>
        <w:t>со</w:t>
      </w:r>
      <w:r>
        <w:rPr>
          <w:sz w:val="28"/>
        </w:rPr>
        <w:t>здание безопасной образовательной среды для сохранения и укрепления</w:t>
      </w:r>
      <w:r>
        <w:rPr>
          <w:sz w:val="28"/>
        </w:rPr>
        <w:t xml:space="preserve"> физического и психического здоровья дошкольников;</w:t>
      </w:r>
    </w:p>
    <w:p w:rsidR="00832A05" w:rsidRDefault="0031148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</w:pPr>
      <w:r>
        <w:tab/>
      </w:r>
      <w:r>
        <w:rPr>
          <w:sz w:val="28"/>
          <w:szCs w:val="28"/>
        </w:rPr>
        <w:t>р</w:t>
      </w:r>
      <w:r>
        <w:rPr>
          <w:sz w:val="28"/>
        </w:rPr>
        <w:t xml:space="preserve">еализация кадровой политики в сфере дошкольного образования, осуществление поддержки молодых специалистов.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Общее образование. </w:t>
      </w:r>
      <w:r>
        <w:rPr>
          <w:sz w:val="28"/>
          <w:szCs w:val="28"/>
        </w:rPr>
        <w:t>На территории города Нижнего Новгорода расположены 154 муниципальные школы (</w:t>
      </w:r>
      <w:r>
        <w:rPr>
          <w:sz w:val="28"/>
          <w:szCs w:val="28"/>
        </w:rPr>
        <w:t>в т.ч. 9 лицеев, 11 гимназий, 22 школы с углубленным изучением отдельных предметов) с количеством обучающихся более 144 тысяч. Охват детей общим образованием – 99,8%.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Школы города активно взаимодействуют с высшими учебными заведениями: 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 школ участвуют в</w:t>
      </w:r>
      <w:r>
        <w:rPr>
          <w:sz w:val="28"/>
          <w:szCs w:val="28"/>
        </w:rPr>
        <w:t xml:space="preserve"> университетском округе ВШЭ, 8 школ входят в кластер с НГПУ имени </w:t>
      </w:r>
      <w:proofErr w:type="spellStart"/>
      <w:r>
        <w:rPr>
          <w:sz w:val="28"/>
          <w:szCs w:val="28"/>
        </w:rPr>
        <w:t>К.Минина</w:t>
      </w:r>
      <w:proofErr w:type="spellEnd"/>
      <w:r>
        <w:rPr>
          <w:sz w:val="28"/>
          <w:szCs w:val="28"/>
        </w:rPr>
        <w:t>, 26 школ входят в кластер ННГУ имени Н.И. Лобачевского;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85 школ реализует адаптированные образовательные программы для 1 500 обучающихся с ограниченными возможностями здоровья, в 13</w:t>
      </w:r>
      <w:r>
        <w:rPr>
          <w:sz w:val="28"/>
          <w:szCs w:val="28"/>
        </w:rPr>
        <w:t xml:space="preserve"> школах открыты классы для детей с расстройством аутистического спектра.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введением федерального государственного образовательного стандарта среднего общего образования, обучение в 10 и 11 классах стало профильным во всех общеобразовательных учреж</w:t>
      </w:r>
      <w:r>
        <w:rPr>
          <w:sz w:val="28"/>
          <w:szCs w:val="28"/>
        </w:rPr>
        <w:t>дениях.</w:t>
      </w:r>
    </w:p>
    <w:p w:rsidR="00832A05" w:rsidRDefault="00311484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настоящее время в общеобразовательных организациях 7 688 педагогических и руководящих работников, из них педагогических – 6 928 человек. </w:t>
      </w:r>
      <w:r>
        <w:rPr>
          <w:color w:val="000000" w:themeColor="text1"/>
          <w:sz w:val="28"/>
          <w:szCs w:val="28"/>
        </w:rPr>
        <w:t>89,3% педагогических работников школ имеют высшее образование (93,2% из них педагогическое). Прошли аттестаци</w:t>
      </w:r>
      <w:r>
        <w:rPr>
          <w:color w:val="000000" w:themeColor="text1"/>
          <w:sz w:val="28"/>
          <w:szCs w:val="28"/>
        </w:rPr>
        <w:t>ю 83,4% педагогических работников общеобразовательных организаций.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 критерием эффективности деятельности системы образования является успеваемость учащихся. Общая успеваемость на протяжении пяти лет остается постоянной (99,5%). Стабильно высок проц</w:t>
      </w:r>
      <w:r>
        <w:rPr>
          <w:sz w:val="28"/>
          <w:szCs w:val="28"/>
        </w:rPr>
        <w:t>ент качества обучения (57 %).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городе часть общеобразовательных организаций продолжают свою работу в двухсменном режиме. Доля учащихся, занимающихся во вторую смену в 2024-2025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 xml:space="preserve">. снижается и по оценке составит 25,4% от общей численности обучающихся в </w:t>
      </w:r>
      <w:r>
        <w:rPr>
          <w:sz w:val="28"/>
          <w:szCs w:val="28"/>
        </w:rPr>
        <w:t xml:space="preserve">муниципальных школах (в 2023-2024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 xml:space="preserve">. - 26%). 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ликвидации второй смены продолжается работа по строительству общеобразовательных учреждений на территории города. В сентябре 2024 года были открыты: школа №188 на 1 225 мест и второй корпус школы № 131 н</w:t>
      </w:r>
      <w:r>
        <w:rPr>
          <w:sz w:val="28"/>
          <w:szCs w:val="28"/>
        </w:rPr>
        <w:t>а 1 500 мест.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2025 году планируется завершить проект по модернизации пищеблоков в общеобразовательных учреждениях города Нижнего Новгорода, выполнив работы в 53 школах. 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прогнозном периоде будет продолжена работа по следующим направлениям: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</w:t>
      </w:r>
      <w:r>
        <w:rPr>
          <w:sz w:val="28"/>
          <w:szCs w:val="28"/>
        </w:rPr>
        <w:t>овий обеспечения доступности качественного образования с целью максимального удовлетворения образовательных запросов населения и рынка труда города;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развитие адаптивной среды для обучения детей с ограниченными возможностями здоровья на каждом уровне образо</w:t>
      </w:r>
      <w:r>
        <w:rPr>
          <w:sz w:val="28"/>
          <w:szCs w:val="28"/>
        </w:rPr>
        <w:t>вания;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цифровая трансформация образовательных организаций;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работы городских ресурсных центров;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антитеррористической защищенности образовательных организаций. 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Дополнительное образование и воспитание. </w:t>
      </w:r>
      <w:r>
        <w:rPr>
          <w:sz w:val="28"/>
          <w:szCs w:val="28"/>
        </w:rPr>
        <w:t>19 учреждений дополнительного обр</w:t>
      </w:r>
      <w:r>
        <w:rPr>
          <w:sz w:val="28"/>
          <w:szCs w:val="28"/>
        </w:rPr>
        <w:t>азования, 154 общеобразовательные организации и 292 дошкольные организации на территории города Нижнего Новгорода реализуют программы дополнительного образования через информационную систему «Навигатор дополнительного образования Нижегородской области».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>2024 году охват дополнительными общеразвивающими программами всеми образовательными организациями города составил 137 438 чел. (73,4% от общего числа детей 5-17 лет). Всего за 2024 год выдано 188 258 социальных сертификатов с установленной категорией (100,</w:t>
      </w:r>
      <w:r>
        <w:rPr>
          <w:sz w:val="28"/>
          <w:szCs w:val="28"/>
        </w:rPr>
        <w:t>5% от установленного показателя).</w:t>
      </w:r>
    </w:p>
    <w:p w:rsidR="00832A05" w:rsidRDefault="003114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реализация федерального проекта «Успех каждого ребенка», в рамках которого общеобразовательные организации открывают новые места дополнительного образования, получая оборудование для занятий.  В 2024 году в го</w:t>
      </w:r>
      <w:r>
        <w:rPr>
          <w:sz w:val="28"/>
          <w:szCs w:val="28"/>
        </w:rPr>
        <w:t xml:space="preserve">ду в проект вошли еще 33 организации (создано 7 054 </w:t>
      </w:r>
      <w:proofErr w:type="spellStart"/>
      <w:r>
        <w:rPr>
          <w:sz w:val="28"/>
          <w:szCs w:val="28"/>
        </w:rPr>
        <w:t>ученико</w:t>
      </w:r>
      <w:proofErr w:type="spellEnd"/>
      <w:r>
        <w:rPr>
          <w:sz w:val="28"/>
          <w:szCs w:val="28"/>
        </w:rPr>
        <w:t xml:space="preserve">-мест). Всего открыто 1 329 дополнительных общеразвивающих программ различной направленности. В 2025 году запланировано открытие 7 560 новых </w:t>
      </w:r>
      <w:proofErr w:type="spellStart"/>
      <w:r>
        <w:rPr>
          <w:sz w:val="28"/>
          <w:szCs w:val="28"/>
        </w:rPr>
        <w:t>ученико</w:t>
      </w:r>
      <w:proofErr w:type="spellEnd"/>
      <w:r>
        <w:rPr>
          <w:sz w:val="28"/>
          <w:szCs w:val="28"/>
        </w:rPr>
        <w:t>-мест в 62 организациях.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Продолжается реализация </w:t>
      </w:r>
      <w:r>
        <w:rPr>
          <w:sz w:val="28"/>
          <w:szCs w:val="28"/>
        </w:rPr>
        <w:t xml:space="preserve">городского </w:t>
      </w:r>
      <w:proofErr w:type="spellStart"/>
      <w:r>
        <w:rPr>
          <w:sz w:val="28"/>
          <w:szCs w:val="28"/>
        </w:rPr>
        <w:t>мегапроекта</w:t>
      </w:r>
      <w:proofErr w:type="spellEnd"/>
      <w:r>
        <w:rPr>
          <w:sz w:val="28"/>
          <w:szCs w:val="28"/>
        </w:rPr>
        <w:t xml:space="preserve"> «Мы вместе» -координирующей системы по воспитанию школьников города, участниками которой в истекшем учебном году стали 96% школ города.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проводятся более 300 воспитательных мероприятий для более чем 70 тысяч школьников, ср</w:t>
      </w:r>
      <w:r>
        <w:rPr>
          <w:sz w:val="28"/>
          <w:szCs w:val="28"/>
        </w:rPr>
        <w:t>еди них: «Классный руководитель года», «Семья года», «Школа безопасности «Зарница», «Вожатый города» и др.</w:t>
      </w:r>
    </w:p>
    <w:p w:rsidR="00832A05" w:rsidRDefault="0031148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  <w:lang w:eastAsia="en-US"/>
        </w:rPr>
        <w:t>О</w:t>
      </w:r>
      <w:r>
        <w:rPr>
          <w:bCs/>
          <w:sz w:val="28"/>
          <w:szCs w:val="28"/>
          <w:lang w:eastAsia="en-US"/>
        </w:rPr>
        <w:t>сновными задачами в прогнозном периоде в сфере дополнительного образования детей будут: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охвата детей дополнительным образованием в 20</w:t>
      </w:r>
      <w:r>
        <w:rPr>
          <w:sz w:val="28"/>
          <w:szCs w:val="28"/>
        </w:rPr>
        <w:t>25 году - 80%, 2026 году - 80,3%, 2027 году - 80,6% от числа детей 5-17 лет;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участия обучающихся города во Всероссийском движении детей и молодежи «Движение первых» в объеме 100%;</w:t>
      </w:r>
    </w:p>
    <w:p w:rsidR="00832A05" w:rsidRDefault="0031148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активизация патриотического воспитания подрастающего поколения.</w:t>
      </w:r>
    </w:p>
    <w:p w:rsidR="00832A05" w:rsidRDefault="00311484">
      <w:pPr>
        <w:keepLines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Основные мероприятия в сфере </w:t>
      </w:r>
      <w:r>
        <w:rPr>
          <w:rFonts w:eastAsia="Times New Roman"/>
          <w:sz w:val="28"/>
          <w:szCs w:val="28"/>
        </w:rPr>
        <w:t>физической культуры и спорта</w:t>
      </w:r>
      <w:r>
        <w:rPr>
          <w:rFonts w:eastAsia="Times New Roman"/>
          <w:sz w:val="28"/>
          <w:szCs w:val="28"/>
        </w:rPr>
        <w:t xml:space="preserve"> в прогнозируемом периоде </w:t>
      </w:r>
      <w:r>
        <w:rPr>
          <w:sz w:val="28"/>
          <w:szCs w:val="28"/>
        </w:rPr>
        <w:t xml:space="preserve">будут </w:t>
      </w:r>
      <w:proofErr w:type="gramStart"/>
      <w:r>
        <w:rPr>
          <w:sz w:val="28"/>
          <w:szCs w:val="28"/>
        </w:rPr>
        <w:t>реализовываться  в</w:t>
      </w:r>
      <w:proofErr w:type="gramEnd"/>
      <w:r>
        <w:rPr>
          <w:sz w:val="28"/>
          <w:szCs w:val="28"/>
        </w:rPr>
        <w:t xml:space="preserve"> рамках муниципальной программы</w:t>
      </w:r>
      <w:r>
        <w:rPr>
          <w:rFonts w:eastAsia="Times New Roman"/>
          <w:sz w:val="28"/>
          <w:szCs w:val="28"/>
        </w:rPr>
        <w:t xml:space="preserve"> «Развитие физической культуры и спорта в городе Нижнем Новгороде на 2023-2028 годы» в соответствии со Стратегией разв</w:t>
      </w:r>
      <w:r>
        <w:rPr>
          <w:rFonts w:eastAsia="Times New Roman"/>
          <w:sz w:val="28"/>
          <w:szCs w:val="28"/>
        </w:rPr>
        <w:t>ития физической культуры и спорта в Российской Федерации на период до 2030 года, утвержденной распоряжением Правительства РФ от 24.11.2020 № 3081-р.</w:t>
      </w:r>
    </w:p>
    <w:p w:rsidR="00832A05" w:rsidRDefault="00311484">
      <w:pPr>
        <w:keepLines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Основной целью муниципальной программы является создание условий, обеспечивающих возможность различным кате</w:t>
      </w:r>
      <w:r>
        <w:rPr>
          <w:rFonts w:eastAsia="Times New Roman"/>
          <w:color w:val="auto"/>
          <w:sz w:val="28"/>
          <w:szCs w:val="28"/>
        </w:rPr>
        <w:t xml:space="preserve">гориям граждан города систематически заниматься физической культурой и спортом.  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В настоящее время на территории города функционирует 27 муниципальных спортивных школ (охват 19 287 чел.) и 1 муниципальное автономное учреждение «МЦ спортивных объектов и ГТ</w:t>
      </w:r>
      <w:r>
        <w:rPr>
          <w:sz w:val="28"/>
          <w:szCs w:val="28"/>
        </w:rPr>
        <w:t>О».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Спортивная база для занятий физической культурой и </w:t>
      </w:r>
      <w:proofErr w:type="gramStart"/>
      <w:r>
        <w:rPr>
          <w:rFonts w:eastAsia="Times New Roman"/>
          <w:sz w:val="28"/>
          <w:szCs w:val="28"/>
        </w:rPr>
        <w:t>спортом  разной</w:t>
      </w:r>
      <w:proofErr w:type="gramEnd"/>
      <w:r>
        <w:rPr>
          <w:rFonts w:eastAsia="Times New Roman"/>
          <w:sz w:val="28"/>
          <w:szCs w:val="28"/>
        </w:rPr>
        <w:t xml:space="preserve"> ведомственной принадлежности включает в себя: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605 спортивных залов;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754 плоскостных спортивных сооружений;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103 плавательных бассейнов.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дальнейшего </w:t>
      </w:r>
      <w:r>
        <w:rPr>
          <w:sz w:val="28"/>
          <w:szCs w:val="28"/>
        </w:rPr>
        <w:t xml:space="preserve">развития массового спорта и повышения уровня обеспеченности населения объектами физической культуры и спорта в городе принимаются меры по плановому капитальному ремонту, реконструкции и строительству новых спортивных объектов. </w:t>
      </w:r>
    </w:p>
    <w:p w:rsidR="00832A05" w:rsidRDefault="00311484">
      <w:pPr>
        <w:keepLines/>
        <w:ind w:firstLine="709"/>
        <w:jc w:val="both"/>
      </w:pPr>
      <w:r>
        <w:rPr>
          <w:rFonts w:eastAsia="Times New Roman"/>
          <w:sz w:val="28"/>
          <w:szCs w:val="28"/>
        </w:rPr>
        <w:t>Выполнен текущий ремонт 46 с</w:t>
      </w:r>
      <w:r>
        <w:rPr>
          <w:rFonts w:eastAsia="Times New Roman"/>
          <w:sz w:val="28"/>
          <w:szCs w:val="28"/>
        </w:rPr>
        <w:t xml:space="preserve">портивных площадок, проводится модернизация 8 спортивных площадок и строительство </w:t>
      </w:r>
      <w:proofErr w:type="spellStart"/>
      <w:proofErr w:type="gramStart"/>
      <w:r>
        <w:rPr>
          <w:rFonts w:eastAsia="Times New Roman"/>
          <w:sz w:val="28"/>
          <w:szCs w:val="28"/>
        </w:rPr>
        <w:t>скейт</w:t>
      </w:r>
      <w:proofErr w:type="spellEnd"/>
      <w:r>
        <w:rPr>
          <w:rFonts w:eastAsia="Times New Roman"/>
          <w:sz w:val="28"/>
          <w:szCs w:val="28"/>
        </w:rPr>
        <w:t>-парка</w:t>
      </w:r>
      <w:proofErr w:type="gramEnd"/>
      <w:r>
        <w:rPr>
          <w:rFonts w:eastAsia="Times New Roman"/>
          <w:sz w:val="28"/>
          <w:szCs w:val="28"/>
        </w:rPr>
        <w:t xml:space="preserve"> в поселке Новинки.</w:t>
      </w:r>
      <w:r>
        <w:t xml:space="preserve"> </w:t>
      </w:r>
      <w:r>
        <w:rPr>
          <w:rFonts w:eastAsia="Times New Roman"/>
          <w:sz w:val="28"/>
          <w:szCs w:val="28"/>
        </w:rPr>
        <w:t>Также в рамках проекта инициативного бюджетирования «Вам решать» в текущем году запланировано устроить 3 спортивные площадки.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2024 году </w:t>
      </w:r>
      <w:proofErr w:type="gramStart"/>
      <w:r>
        <w:rPr>
          <w:sz w:val="28"/>
          <w:szCs w:val="28"/>
        </w:rPr>
        <w:t>плани</w:t>
      </w:r>
      <w:r>
        <w:rPr>
          <w:sz w:val="28"/>
          <w:szCs w:val="28"/>
        </w:rPr>
        <w:t>руется  проведение</w:t>
      </w:r>
      <w:proofErr w:type="gramEnd"/>
      <w:r>
        <w:rPr>
          <w:sz w:val="28"/>
          <w:szCs w:val="28"/>
        </w:rPr>
        <w:t xml:space="preserve"> текущего ремонта в 18 учреждениях, капитального ремонта в 6 учреждениях, а также планируется закупка оборудования в 19 учреждениях.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В рамках заключенного в 2023 году между администрацией города Нижнего Новгорода и ООО «Автозавод «ГАЗ» со</w:t>
      </w:r>
      <w:r>
        <w:rPr>
          <w:sz w:val="28"/>
          <w:szCs w:val="28"/>
        </w:rPr>
        <w:t xml:space="preserve">глашения завершены работы по строительству «Центра спортивных единоборств» (ввод в эксплуатацию - 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квартал 2024 года).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Популяризации спорта также способствует проведение городских спортивных мероприятий и соревнований, которые проходят согласно календар</w:t>
      </w:r>
      <w:r>
        <w:rPr>
          <w:rFonts w:eastAsia="Times New Roman"/>
          <w:sz w:val="28"/>
          <w:szCs w:val="28"/>
        </w:rPr>
        <w:t xml:space="preserve">ному плану, сформированному на основании заявок от общественных организаций федераций по видам спорта, спортивных клубов и др. Всего в 2024 году запланировано провести 1 208 спортивных мероприятий. </w:t>
      </w:r>
    </w:p>
    <w:p w:rsidR="00832A05" w:rsidRDefault="00311484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Продолжается работа по проекту «Спорт в каждый двор». Бес</w:t>
      </w:r>
      <w:r>
        <w:rPr>
          <w:rFonts w:eastAsia="Times New Roman"/>
          <w:sz w:val="28"/>
          <w:szCs w:val="28"/>
        </w:rPr>
        <w:t>платные тренировки с профессиональными тренерами на спортивных площадках и в парках города Нижнего Новгорода пользуются большим спросом у горожан, желающих заниматься физической культурой и спортом. За истекший период 2024 года проведено 1 162 бесплатные т</w:t>
      </w:r>
      <w:r>
        <w:rPr>
          <w:rFonts w:eastAsia="Times New Roman"/>
          <w:sz w:val="28"/>
          <w:szCs w:val="28"/>
        </w:rPr>
        <w:t>ренировки на 42 площадках города, которые посетили 10 855 человек.</w:t>
      </w:r>
    </w:p>
    <w:p w:rsidR="00832A05" w:rsidRDefault="0031148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доступности занятий физической культурой и спортом для лиц с ограниченными возможностями здоровья (ВОЗ), в том числе для детей-инвалидов, осуществляется муниципальными учреждени</w:t>
      </w:r>
      <w:r>
        <w:rPr>
          <w:sz w:val="28"/>
          <w:szCs w:val="28"/>
        </w:rPr>
        <w:t>ями на безвозмездной основе.</w:t>
      </w:r>
      <w:r>
        <w:t xml:space="preserve"> </w:t>
      </w:r>
      <w:r>
        <w:rPr>
          <w:sz w:val="28"/>
          <w:szCs w:val="28"/>
        </w:rPr>
        <w:t>В 9 муниципальных учреждениях физической культуры и спорта функционируют разновозрастные и разнонаправленные группы по 14 адаптивным видам спорта, численность занимающихся составляет 512 человек.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городе проводится активная ра</w:t>
      </w:r>
      <w:r>
        <w:rPr>
          <w:sz w:val="28"/>
          <w:szCs w:val="28"/>
        </w:rPr>
        <w:t xml:space="preserve">бота по популяризации сдачи норм ГТО. </w:t>
      </w:r>
      <w:r>
        <w:rPr>
          <w:rFonts w:eastAsia="Times New Roman"/>
          <w:sz w:val="28"/>
          <w:szCs w:val="28"/>
        </w:rPr>
        <w:t>В первом полугодии 2024 года нормативы на знаки ГТО выполнили 228 человек. Приступивших к сдаче норм ГТО 1 800 человек.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В период летней оздоровительной кампании 2024 года 3 951 (20,5%) обучающихся спортивных школ охвач</w:t>
      </w:r>
      <w:r>
        <w:rPr>
          <w:sz w:val="28"/>
          <w:szCs w:val="28"/>
        </w:rPr>
        <w:t xml:space="preserve">ено учебно-тренировочными сборами и другими формами спортивно-оздоровительной работы в летний период.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Для информационной поддержки спортивной отрасли используются различные средства массовой информации. В 2024 году продолжена реализация совместного проект</w:t>
      </w:r>
      <w:r>
        <w:rPr>
          <w:rFonts w:eastAsia="Times New Roman"/>
          <w:sz w:val="28"/>
          <w:szCs w:val="28"/>
        </w:rPr>
        <w:t xml:space="preserve">а администрации города Нижнего Новгорода и ГТРК «Нижний Новгород» по выпуску телевизионных программ «Вести-спорт».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Все эти мероприятия положительно сказываются на сохранении позитивных тенденций развития массовой физической культуры и спорта на территории</w:t>
      </w:r>
      <w:r>
        <w:rPr>
          <w:rFonts w:eastAsia="Times New Roman"/>
          <w:sz w:val="28"/>
          <w:szCs w:val="28"/>
        </w:rPr>
        <w:t xml:space="preserve"> города на протяжении последних лет.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 прогнозный период основными задачами в данной сфере будут: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сохранение и развитие спортивной инфраструктуры;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занятий физической культурой и спортом;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укрепление материально-технической базы муниципальных учреждений;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повышение эффективности деятельности спортивных школ;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приобщение населения к регулярным занятиям физической культурой и спортом; 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популяризация физической культуры, спорта и здорового обра</w:t>
      </w:r>
      <w:r>
        <w:rPr>
          <w:rFonts w:eastAsia="Times New Roman"/>
          <w:sz w:val="28"/>
          <w:szCs w:val="28"/>
        </w:rPr>
        <w:t>за жизни.</w:t>
      </w:r>
    </w:p>
    <w:p w:rsidR="00832A05" w:rsidRDefault="00311484">
      <w:pPr>
        <w:keepLines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2025 году запланирован капитальный ремонт 21 спортивной площадки.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зимний период 2024-2025 гг. планируется залить 42 хоккейные коробки, 14 спортивных площадок будут подготовлены для зимнего футбола.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Ведется работа по определению источников фин</w:t>
      </w:r>
      <w:r>
        <w:rPr>
          <w:sz w:val="28"/>
          <w:szCs w:val="28"/>
        </w:rPr>
        <w:t>ансирования для реализации до 2027 года следующих проектов: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строительство легкоатлетического манежа в МБОУ ДО «КСШОР №1»;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реконструкция футбольного поля и строительство спортивных объектов на территории спортивного комплекса «Искра»;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реконструкция стадиона</w:t>
      </w:r>
      <w:r>
        <w:rPr>
          <w:sz w:val="28"/>
          <w:szCs w:val="28"/>
        </w:rPr>
        <w:t xml:space="preserve"> «Старт»;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реконструкция спортивных и хозяйственных объектов на территории МБОУ ДО «СШ «Водник»;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строительство спортивного комплекса для развития волейбола;</w:t>
      </w:r>
    </w:p>
    <w:p w:rsidR="00832A05" w:rsidRDefault="00311484">
      <w:pPr>
        <w:keepLines/>
        <w:ind w:firstLine="709"/>
        <w:jc w:val="both"/>
      </w:pPr>
      <w:r>
        <w:rPr>
          <w:sz w:val="28"/>
          <w:szCs w:val="28"/>
        </w:rPr>
        <w:t>строительство спортивного зала для развития настольного тенниса;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</w:t>
      </w:r>
      <w:r>
        <w:rPr>
          <w:sz w:val="28"/>
          <w:szCs w:val="28"/>
        </w:rPr>
        <w:t xml:space="preserve"> спортивного зала для баскетбола.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 прогнозный период запланировано постепенное увеличение количества массовых физкультурно-спортивных мероприятий и их участников (к 2027 году количество участников должно достигнуть 210 тыс. человек).</w:t>
      </w:r>
    </w:p>
    <w:p w:rsidR="00832A05" w:rsidRDefault="00311484">
      <w:pPr>
        <w:keepLines/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Благодаря проводимой</w:t>
      </w:r>
      <w:r>
        <w:rPr>
          <w:rFonts w:eastAsia="Times New Roman"/>
          <w:sz w:val="28"/>
          <w:szCs w:val="28"/>
        </w:rPr>
        <w:t xml:space="preserve"> работе по реконструкции и ремонту объектов спортивной инфраструктуры, популяризации физической культуры, спорта и здорового образа жизни</w:t>
      </w:r>
      <w:r>
        <w:rPr>
          <w:sz w:val="28"/>
          <w:szCs w:val="28"/>
        </w:rPr>
        <w:t xml:space="preserve"> о</w:t>
      </w:r>
      <w:r>
        <w:rPr>
          <w:rFonts w:eastAsia="Times New Roman"/>
          <w:sz w:val="28"/>
          <w:szCs w:val="28"/>
        </w:rPr>
        <w:t>жидается увеличение и количества вовлеченных жителей в занятия физической культурой и спортом (к 2027 году – 62%).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Ту</w:t>
      </w:r>
      <w:r>
        <w:rPr>
          <w:rFonts w:eastAsia="Times New Roman"/>
          <w:sz w:val="28"/>
          <w:szCs w:val="28"/>
        </w:rPr>
        <w:t>ризм.</w:t>
      </w:r>
      <w:r>
        <w:rPr>
          <w:rFonts w:eastAsia="Times New Roman"/>
          <w:sz w:val="28"/>
          <w:szCs w:val="28"/>
        </w:rPr>
        <w:t xml:space="preserve"> Нижний Новгород считается одним из самых быстрорастущих туристических направлений в России и входит в число лидеров в туристической отрасли в последние годы. Его преимущества – </w:t>
      </w:r>
      <w:proofErr w:type="gramStart"/>
      <w:r>
        <w:rPr>
          <w:rFonts w:eastAsia="Times New Roman"/>
          <w:sz w:val="28"/>
          <w:szCs w:val="28"/>
        </w:rPr>
        <w:t>это  богатое</w:t>
      </w:r>
      <w:proofErr w:type="gramEnd"/>
      <w:r>
        <w:rPr>
          <w:rFonts w:eastAsia="Times New Roman"/>
          <w:sz w:val="28"/>
          <w:szCs w:val="28"/>
        </w:rPr>
        <w:t xml:space="preserve"> историко-культурное наследие, уникальные видовые характерист</w:t>
      </w:r>
      <w:r>
        <w:rPr>
          <w:rFonts w:eastAsia="Times New Roman"/>
          <w:sz w:val="28"/>
          <w:szCs w:val="28"/>
        </w:rPr>
        <w:t xml:space="preserve">ики, насыщенная событийная программа, повышение уровня комфорта городской среды, наличие развлекательных объектов для детей и взрослых. Город обладает удобным логистическим расположением на пересечении автомобильных и железнодорожных магистралей, системой </w:t>
      </w:r>
      <w:r>
        <w:rPr>
          <w:rFonts w:eastAsia="Times New Roman"/>
          <w:sz w:val="28"/>
          <w:szCs w:val="28"/>
        </w:rPr>
        <w:t>речного сообщения и авиасообщения, что способствует развитию въездного и внутреннего туризма.</w:t>
      </w:r>
    </w:p>
    <w:p w:rsidR="00832A05" w:rsidRDefault="0031148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связи с этим, возрастает вклад от развития туризма в экономику города – увеличивается оборот розничной торговли, общественного питания, объем платных услуг, в т</w:t>
      </w:r>
      <w:r>
        <w:rPr>
          <w:rFonts w:eastAsia="Times New Roman"/>
          <w:sz w:val="28"/>
          <w:szCs w:val="28"/>
        </w:rPr>
        <w:t xml:space="preserve">.ч. гостиничных, услуг культуры, </w:t>
      </w:r>
      <w:proofErr w:type="gramStart"/>
      <w:r>
        <w:rPr>
          <w:rFonts w:eastAsia="Times New Roman"/>
          <w:sz w:val="28"/>
          <w:szCs w:val="28"/>
        </w:rPr>
        <w:t>транспорта  и</w:t>
      </w:r>
      <w:proofErr w:type="gramEnd"/>
      <w:r>
        <w:rPr>
          <w:rFonts w:eastAsia="Times New Roman"/>
          <w:sz w:val="28"/>
          <w:szCs w:val="28"/>
        </w:rPr>
        <w:t xml:space="preserve"> пр.</w:t>
      </w:r>
    </w:p>
    <w:p w:rsidR="00832A05" w:rsidRDefault="00311484">
      <w:pPr>
        <w:ind w:right="-1"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На территории города работают 74 туроператора (по состоянию на 01.01.2024), 4 туристско-информационных центра. </w:t>
      </w:r>
    </w:p>
    <w:p w:rsidR="00832A05" w:rsidRDefault="00311484">
      <w:pPr>
        <w:ind w:right="-1"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Структура гостиничного бизнеса города Нижнего Новгорода на начало 2024 года представлена 162 </w:t>
      </w:r>
      <w:r>
        <w:rPr>
          <w:rFonts w:eastAsia="Times New Roman"/>
          <w:color w:val="000000" w:themeColor="text1"/>
          <w:sz w:val="28"/>
          <w:szCs w:val="28"/>
        </w:rPr>
        <w:t>гостиничными объектами с общим номерным фондом 5 806 ед. В 2024 году открылся отель «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Норатон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>» 4* (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ул.Должанская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). 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Поток прибывающих в город туристов ежегодно увеличивается не только в связи с повышением спроса граждан на путешествия внутри страны. Дополни</w:t>
      </w:r>
      <w:r>
        <w:rPr>
          <w:rFonts w:eastAsia="Times New Roman"/>
          <w:color w:val="000000" w:themeColor="text1"/>
          <w:sz w:val="28"/>
          <w:szCs w:val="28"/>
        </w:rPr>
        <w:t>тельному увеличению туристического потока способствует получение Нижним Новгородом различных статусов («Новогодняя столица России 2022», «Столица детского туризма 2022-2023», «Молодежная столица России 2023»), ведущих позиций в рейтингах сферы туризма и ре</w:t>
      </w:r>
      <w:r>
        <w:rPr>
          <w:rFonts w:eastAsia="Times New Roman"/>
          <w:color w:val="000000" w:themeColor="text1"/>
          <w:sz w:val="28"/>
          <w:szCs w:val="28"/>
        </w:rPr>
        <w:t xml:space="preserve">ализация проекта туристского кода центра города в рамках нацпроекта «Туризм и индустрия гостеприимства».  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Развитию туристского потенциала города в ближайшие годы будет способствовать реализация проектов в связи с получением Нижним Новгородом статуса </w:t>
      </w:r>
      <w:r>
        <w:rPr>
          <w:sz w:val="28"/>
          <w:szCs w:val="28"/>
        </w:rPr>
        <w:t>«Куль</w:t>
      </w:r>
      <w:r>
        <w:rPr>
          <w:sz w:val="28"/>
          <w:szCs w:val="28"/>
        </w:rPr>
        <w:t>турной столицы России 2024»</w:t>
      </w:r>
      <w:r>
        <w:rPr>
          <w:rFonts w:eastAsia="Times New Roman"/>
          <w:sz w:val="28"/>
          <w:szCs w:val="28"/>
        </w:rPr>
        <w:t>, проведение мероприятий разных форматов, в том числе: новогодней Горьковской ярмарки, международной ярмарки изделий мастеров народных художественных промыслов и декоративно-прикладного искусства «Секреты мастеров-2024» и др.</w:t>
      </w:r>
    </w:p>
    <w:p w:rsidR="00832A05" w:rsidRDefault="00311484">
      <w:pPr>
        <w:ind w:right="-1"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8"/>
        </w:rPr>
        <w:t>В ц</w:t>
      </w:r>
      <w:r>
        <w:rPr>
          <w:rFonts w:eastAsia="Times New Roman"/>
          <w:sz w:val="28"/>
          <w:szCs w:val="28"/>
        </w:rPr>
        <w:t>елях развития туризма на постоянной основе осуществляется информационное обеспечение продвижения нижегородс</w:t>
      </w:r>
      <w:r>
        <w:rPr>
          <w:rFonts w:eastAsia="Times New Roman"/>
          <w:color w:val="000000" w:themeColor="text1"/>
          <w:sz w:val="28"/>
          <w:szCs w:val="28"/>
        </w:rPr>
        <w:t>кого турпродукта и создание комфортной информационной среды, осуществляется поддержка официального туристического портала Нижнего Новгорода nn-grad.r</w:t>
      </w:r>
      <w:r>
        <w:rPr>
          <w:rFonts w:eastAsia="Times New Roman"/>
          <w:color w:val="000000" w:themeColor="text1"/>
          <w:sz w:val="28"/>
          <w:szCs w:val="28"/>
        </w:rPr>
        <w:t>u.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Комплексное развитие туризма предполагает не только продвижение туристского потенциала города Нижнего Новгорода на международном и российском рынках туристских услуг, но и развитие туристской инфраструктуры.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 числе первоочередных мероприятий по развити</w:t>
      </w:r>
      <w:r>
        <w:rPr>
          <w:rFonts w:eastAsia="Times New Roman"/>
          <w:sz w:val="28"/>
          <w:szCs w:val="28"/>
        </w:rPr>
        <w:t>ю инфраструктуры:</w:t>
      </w:r>
    </w:p>
    <w:p w:rsidR="00832A05" w:rsidRDefault="00311484">
      <w:pPr>
        <w:ind w:right="-1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системы пешеходной туристской навигации;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новых центров притяжения туристов и их продвижение;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новых парковок для туристского автотранспорта.</w:t>
      </w:r>
    </w:p>
    <w:p w:rsidR="00832A05" w:rsidRDefault="00311484">
      <w:pPr>
        <w:ind w:right="-1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Международные и межрегиональные связи. </w:t>
      </w:r>
      <w:r>
        <w:rPr>
          <w:rFonts w:eastAsia="Times New Roman"/>
          <w:sz w:val="28"/>
          <w:szCs w:val="28"/>
        </w:rPr>
        <w:t xml:space="preserve">Нижний Новгород продолжает активное сотрудничество в сфере международных </w:t>
      </w:r>
      <w:proofErr w:type="gramStart"/>
      <w:r>
        <w:rPr>
          <w:rFonts w:eastAsia="Times New Roman"/>
          <w:sz w:val="28"/>
          <w:szCs w:val="28"/>
        </w:rPr>
        <w:t>отношений  с</w:t>
      </w:r>
      <w:proofErr w:type="gramEnd"/>
      <w:r>
        <w:rPr>
          <w:rFonts w:eastAsia="Times New Roman"/>
          <w:sz w:val="28"/>
          <w:szCs w:val="28"/>
        </w:rPr>
        <w:t xml:space="preserve"> учетом новых внешнеполитических обстоятельств, развивает межрегиональные связи, а также активно продвигает позитивный имидж Нижнего Новгорода на международной арене. Это </w:t>
      </w:r>
      <w:r>
        <w:rPr>
          <w:rFonts w:eastAsia="Times New Roman"/>
          <w:sz w:val="28"/>
          <w:szCs w:val="28"/>
        </w:rPr>
        <w:t>способствует налаживанию прямых контактов между предприятиями, вузами, школами, учреждениями культуры и спорта, туристскими организациями, привлечению иностранных инвесторов в экономику города.</w:t>
      </w:r>
    </w:p>
    <w:p w:rsidR="00832A05" w:rsidRDefault="00311484">
      <w:pPr>
        <w:ind w:right="-1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Проводится работа по установлению побратимских и партнерских </w:t>
      </w:r>
      <w:r>
        <w:rPr>
          <w:rFonts w:eastAsia="Times New Roman"/>
          <w:sz w:val="28"/>
          <w:szCs w:val="28"/>
        </w:rPr>
        <w:t>связей с новыми городами в странах, являющихся приоритетными партнерами Российской Федерации. Система побратимских связей выстраивается в направлениях, представляющих интерес для города, его жителей и расположенных в нем предприятий, учреждений и организац</w:t>
      </w:r>
      <w:r>
        <w:rPr>
          <w:rFonts w:eastAsia="Times New Roman"/>
          <w:sz w:val="28"/>
          <w:szCs w:val="28"/>
        </w:rPr>
        <w:t>ий.</w:t>
      </w:r>
    </w:p>
    <w:p w:rsidR="00832A05" w:rsidRDefault="00311484">
      <w:pPr>
        <w:ind w:right="-1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Нижний Новгород сотрудничает с 21 городом-побратимом и 5 городами-партнерами.</w:t>
      </w:r>
    </w:p>
    <w:p w:rsidR="00832A05" w:rsidRDefault="00311484">
      <w:pPr>
        <w:ind w:right="-1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течение 2024 года подписано 10 соглашений при участии администрации города Нижнего Новгорода</w:t>
      </w:r>
      <w:r>
        <w:rPr>
          <w:sz w:val="28"/>
          <w:szCs w:val="28"/>
        </w:rPr>
        <w:t xml:space="preserve"> о сотрудничестве и развитии связей и другие соглашения в сферах куль</w:t>
      </w:r>
      <w:r>
        <w:rPr>
          <w:rFonts w:eastAsia="Times New Roman"/>
          <w:sz w:val="28"/>
          <w:szCs w:val="28"/>
        </w:rPr>
        <w:t>туры, спорт</w:t>
      </w:r>
      <w:r>
        <w:rPr>
          <w:rFonts w:eastAsia="Times New Roman"/>
          <w:sz w:val="28"/>
          <w:szCs w:val="28"/>
        </w:rPr>
        <w:t>а, благоустройства.</w:t>
      </w:r>
    </w:p>
    <w:p w:rsidR="00832A05" w:rsidRDefault="003114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период с мая по август в Нижнем Новгороде был проведен ряд международных мероприятий в рамках председательства России в объединении БРИКС, в том числе 9-10 июля состоялся Форум породненных городов и муниципальных образований стран БРИ</w:t>
      </w:r>
      <w:r>
        <w:rPr>
          <w:sz w:val="28"/>
          <w:szCs w:val="28"/>
        </w:rPr>
        <w:t xml:space="preserve">КС, к участию в котором были приглашены города-побратимы и партнеры из стран БРИКС. </w:t>
      </w:r>
    </w:p>
    <w:p w:rsidR="00832A05" w:rsidRDefault="00311484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Продолжается работа с китайскими городами-партнерами, в том числе в июле в рамках ежегодной встречи мэров 5-стороннего протокола о сотрудничестве между городами Благовещен</w:t>
      </w:r>
      <w:r>
        <w:rPr>
          <w:sz w:val="28"/>
          <w:szCs w:val="28"/>
        </w:rPr>
        <w:t>ск, Нижний Новгород, Южно-Сахалинск и китайским</w:t>
      </w:r>
      <w:r>
        <w:rPr>
          <w:rFonts w:eastAsia="Times New Roman"/>
          <w:sz w:val="28"/>
          <w:szCs w:val="28"/>
        </w:rPr>
        <w:t xml:space="preserve">и городами </w:t>
      </w:r>
      <w:proofErr w:type="spellStart"/>
      <w:r>
        <w:rPr>
          <w:rFonts w:eastAsia="Times New Roman"/>
          <w:sz w:val="28"/>
          <w:szCs w:val="28"/>
        </w:rPr>
        <w:t>Чжухай</w:t>
      </w:r>
      <w:proofErr w:type="spellEnd"/>
      <w:r>
        <w:rPr>
          <w:rFonts w:eastAsia="Times New Roman"/>
          <w:sz w:val="28"/>
          <w:szCs w:val="28"/>
        </w:rPr>
        <w:t xml:space="preserve"> и </w:t>
      </w:r>
      <w:proofErr w:type="spellStart"/>
      <w:r>
        <w:rPr>
          <w:rFonts w:eastAsia="Times New Roman"/>
          <w:sz w:val="28"/>
          <w:szCs w:val="28"/>
        </w:rPr>
        <w:t>Хэйхэ</w:t>
      </w:r>
      <w:proofErr w:type="spellEnd"/>
      <w:r>
        <w:rPr>
          <w:rFonts w:eastAsia="Times New Roman"/>
          <w:sz w:val="28"/>
          <w:szCs w:val="28"/>
        </w:rPr>
        <w:t xml:space="preserve"> проведена презентация Нижнего Новгорода и переговоры в сфере развития туризма.  </w:t>
      </w:r>
    </w:p>
    <w:p w:rsidR="00832A05" w:rsidRDefault="00311484">
      <w:pPr>
        <w:ind w:firstLine="708"/>
        <w:jc w:val="both"/>
        <w:rPr>
          <w:sz w:val="28"/>
        </w:rPr>
      </w:pPr>
      <w:r>
        <w:rPr>
          <w:sz w:val="28"/>
        </w:rPr>
        <w:t>Потенциальные направления межрегионального сотрудничества, выбранные для установления новых партнерски</w:t>
      </w:r>
      <w:r>
        <w:rPr>
          <w:sz w:val="28"/>
        </w:rPr>
        <w:t xml:space="preserve">х отношений внутри страны: Волгоград, Ижевск, Йошкар-Ола, Киров, Пенза, Пермь, Уфа (города-члены АГП), Ярославль, Красноярск, Иркутск, Томск, Челябинск (города трудовой доблести), а также Краснодар. 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Приоритетные направления развития внешнеэкономических и межрегиональных связей города Нижнего Новгорода в прогнозируемом периоде: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налаживание и расширение взаимовыгодного сотрудничества между представителями бизнеса, направленного на увеличение товарооборо</w:t>
      </w:r>
      <w:r>
        <w:rPr>
          <w:rFonts w:eastAsia="Times New Roman"/>
          <w:sz w:val="28"/>
          <w:szCs w:val="28"/>
        </w:rPr>
        <w:t>та и рост инвестиций между городами-побратимами;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использование торгово-экономического потенциала, правовых преференций и льготных режимов городов-побратимов для расширения экспортно-импортных операций, в т.ч. возможностей параллельного импорта, в условиях </w:t>
      </w:r>
      <w:r>
        <w:rPr>
          <w:rFonts w:eastAsia="Times New Roman"/>
          <w:sz w:val="28"/>
          <w:szCs w:val="28"/>
        </w:rPr>
        <w:t>санкционного давления;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расширение научно-технического сотрудничества между городами-побратимами в области высоких технологий и ИТ;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популяризация туристского потенциала Нижнего Новгорода, увеличение туристических потоков между городами-побратимами и партнер</w:t>
      </w:r>
      <w:r>
        <w:rPr>
          <w:rFonts w:eastAsia="Times New Roman"/>
          <w:sz w:val="28"/>
          <w:szCs w:val="28"/>
        </w:rPr>
        <w:t>ами;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увеличение количества зарубежных абитуриентов нижегородских вузов;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совместных мероприятий в сфере культуры, образования, здравоохранения, включая онлайн форматы;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и проведение совместных спортивных мероприятий, обмен тренерским о</w:t>
      </w:r>
      <w:r>
        <w:rPr>
          <w:rFonts w:eastAsia="Times New Roman"/>
          <w:sz w:val="28"/>
          <w:szCs w:val="28"/>
        </w:rPr>
        <w:t>пытом;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участие в </w:t>
      </w:r>
      <w:proofErr w:type="spellStart"/>
      <w:r>
        <w:rPr>
          <w:rFonts w:eastAsia="Times New Roman"/>
          <w:sz w:val="28"/>
          <w:szCs w:val="28"/>
        </w:rPr>
        <w:t>выставочно</w:t>
      </w:r>
      <w:proofErr w:type="spellEnd"/>
      <w:r>
        <w:rPr>
          <w:rFonts w:eastAsia="Times New Roman"/>
          <w:sz w:val="28"/>
          <w:szCs w:val="28"/>
        </w:rPr>
        <w:t>-ярмарочной деятельности городов-побратимов и партнеров;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продвижение интересов нижегородского бизнеса, некоммерческих организаций, учреждений науки, образования, культуры и спорта на международной арене;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участие в работе вновь со</w:t>
      </w:r>
      <w:r>
        <w:rPr>
          <w:rFonts w:eastAsia="Times New Roman"/>
          <w:sz w:val="28"/>
          <w:szCs w:val="28"/>
        </w:rPr>
        <w:t>здаваемого Международного центра туризма в рамках БРИКС;</w:t>
      </w:r>
    </w:p>
    <w:p w:rsidR="00832A05" w:rsidRDefault="00311484">
      <w:pPr>
        <w:ind w:right="-1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установление сотрудничества с потенциальными городами-побратимами и партнерами в приоритетных странах: Турция, Индия, Иран, Египет, Сирия, Казахстан, Азербайджан, Киргизия.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Основные мероприятия в сфе</w:t>
      </w:r>
      <w:r>
        <w:rPr>
          <w:sz w:val="28"/>
          <w:szCs w:val="28"/>
        </w:rPr>
        <w:t xml:space="preserve">ре </w:t>
      </w:r>
      <w:r>
        <w:rPr>
          <w:sz w:val="28"/>
          <w:szCs w:val="28"/>
        </w:rPr>
        <w:t>культуры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прогнозном периоде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будут реализовываться в </w:t>
      </w:r>
      <w:proofErr w:type="gramStart"/>
      <w:r>
        <w:rPr>
          <w:sz w:val="28"/>
          <w:szCs w:val="28"/>
        </w:rPr>
        <w:t xml:space="preserve">рамках  </w:t>
      </w:r>
      <w:r>
        <w:rPr>
          <w:color w:val="auto"/>
          <w:sz w:val="28"/>
          <w:szCs w:val="28"/>
        </w:rPr>
        <w:t>муниципальной</w:t>
      </w:r>
      <w:proofErr w:type="gramEnd"/>
      <w:r>
        <w:rPr>
          <w:color w:val="auto"/>
          <w:sz w:val="28"/>
          <w:szCs w:val="28"/>
        </w:rPr>
        <w:t xml:space="preserve"> программы «Развитие культуры города Нижнего Новгорода</w:t>
      </w:r>
      <w:r>
        <w:rPr>
          <w:color w:val="000000" w:themeColor="text1"/>
          <w:sz w:val="28"/>
          <w:szCs w:val="28"/>
        </w:rPr>
        <w:t xml:space="preserve"> на 2023-2028 годы». </w:t>
      </w:r>
    </w:p>
    <w:p w:rsidR="00832A05" w:rsidRDefault="00311484">
      <w:pPr>
        <w:shd w:val="clear" w:color="auto" w:fill="FFFFFF"/>
        <w:ind w:firstLine="7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настоящее время сеть муниципальных учреждений культуры и дополнительного образования города Нижнего </w:t>
      </w:r>
      <w:r>
        <w:rPr>
          <w:color w:val="000000" w:themeColor="text1"/>
          <w:sz w:val="28"/>
          <w:szCs w:val="28"/>
        </w:rPr>
        <w:t>Новгорода включает в себя 55 учреждений: 23 учреждения дополнительного образования, 6 музеев, 4 театра, 5 учреждений культуры клубного типа, 3 концертные организации, 10 библиотек, МАУК «Дирекция парков и скверов города Нижнего Новгорода», МАУК «Парк Швейц</w:t>
      </w:r>
      <w:r>
        <w:rPr>
          <w:color w:val="000000" w:themeColor="text1"/>
          <w:sz w:val="28"/>
          <w:szCs w:val="28"/>
        </w:rPr>
        <w:t xml:space="preserve">ария», МАУК «Дирекция по проведению культурно-массовых мероприятий города Нижнего Новгорода», МАУК «Нижегородский планетарий им. </w:t>
      </w:r>
      <w:proofErr w:type="spellStart"/>
      <w:r>
        <w:rPr>
          <w:color w:val="000000" w:themeColor="text1"/>
          <w:sz w:val="28"/>
          <w:szCs w:val="28"/>
        </w:rPr>
        <w:t>Г.М.Гречко</w:t>
      </w:r>
      <w:proofErr w:type="spellEnd"/>
      <w:r>
        <w:rPr>
          <w:color w:val="000000" w:themeColor="text1"/>
          <w:sz w:val="28"/>
          <w:szCs w:val="28"/>
        </w:rPr>
        <w:t>».</w:t>
      </w:r>
    </w:p>
    <w:p w:rsidR="00832A05" w:rsidRDefault="00311484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2024 год Нижний Новгород встретил в статусе «Культурной столицы России». Для учреждений культуры и дополнительного</w:t>
      </w:r>
      <w:r>
        <w:rPr>
          <w:color w:val="000000" w:themeColor="text1"/>
          <w:sz w:val="28"/>
          <w:szCs w:val="28"/>
        </w:rPr>
        <w:t xml:space="preserve"> образования он стал годом развития и внедрения новых практик, модернизации пространств, участия в новых проектах.</w:t>
      </w:r>
    </w:p>
    <w:p w:rsidR="00832A05" w:rsidRDefault="00311484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начала года число посещений культурных мероприятий, проводимых муниципальными учреждениями культуры и дополнительного образования города Ни</w:t>
      </w:r>
      <w:r>
        <w:rPr>
          <w:color w:val="000000" w:themeColor="text1"/>
          <w:sz w:val="28"/>
          <w:szCs w:val="28"/>
        </w:rPr>
        <w:t>жнего Новгорода, составило 3 960,5 тыс. (по состоянию на конец августа).</w:t>
      </w:r>
    </w:p>
    <w:p w:rsidR="00832A05" w:rsidRDefault="00311484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городе пр</w:t>
      </w:r>
      <w:r>
        <w:rPr>
          <w:color w:val="000000" w:themeColor="text1"/>
          <w:sz w:val="28"/>
          <w:szCs w:val="28"/>
        </w:rPr>
        <w:t>одолжается активная работа по продвижению федеральной программы «Пушкинская карта». Свыше 500 мероприятий доступно по карте в нижегородских театрах, музеях, творческих коллективах, домах культуры, а также в библиотеках.</w:t>
      </w:r>
    </w:p>
    <w:p w:rsidR="00832A05" w:rsidRDefault="00311484">
      <w:pPr>
        <w:shd w:val="clear" w:color="auto" w:fill="FFFFFF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Особое значение уделяется проведению</w:t>
      </w:r>
      <w:r>
        <w:rPr>
          <w:color w:val="auto"/>
          <w:sz w:val="28"/>
          <w:szCs w:val="28"/>
        </w:rPr>
        <w:t xml:space="preserve"> мероприятий по укреплению духовно-нравственных ценностей и гражданско-патриотическому воспитанию, которые в 2024 году посетило более 65 тыс. человек (по состоянию на 01.07.2024 года).</w:t>
      </w:r>
    </w:p>
    <w:p w:rsidR="00832A05" w:rsidRDefault="00311484">
      <w:pPr>
        <w:shd w:val="clear" w:color="auto" w:fill="FFFFFF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рамках Года семьи был организован </w:t>
      </w:r>
      <w:proofErr w:type="spellStart"/>
      <w:r>
        <w:rPr>
          <w:color w:val="auto"/>
          <w:sz w:val="28"/>
          <w:szCs w:val="28"/>
        </w:rPr>
        <w:t>этнофестиваль</w:t>
      </w:r>
      <w:proofErr w:type="spellEnd"/>
      <w:r>
        <w:rPr>
          <w:color w:val="auto"/>
          <w:sz w:val="28"/>
          <w:szCs w:val="28"/>
        </w:rPr>
        <w:t xml:space="preserve"> «Семейные узоры», кот</w:t>
      </w:r>
      <w:r>
        <w:rPr>
          <w:color w:val="auto"/>
          <w:sz w:val="28"/>
          <w:szCs w:val="28"/>
        </w:rPr>
        <w:t>орый посетило 1 850 человек, а также впервые состоялся семейный фестиваль «Культурный Нижний», охват населения составил 15 тыс. человек.</w:t>
      </w:r>
    </w:p>
    <w:p w:rsidR="00832A05" w:rsidRDefault="00311484">
      <w:pPr>
        <w:ind w:firstLine="709"/>
        <w:jc w:val="both"/>
        <w:rPr>
          <w:color w:val="auto"/>
          <w:sz w:val="28"/>
          <w:szCs w:val="28"/>
        </w:rPr>
      </w:pPr>
      <w:r>
        <w:rPr>
          <w:color w:val="000000" w:themeColor="text1"/>
          <w:sz w:val="28"/>
          <w:szCs w:val="28"/>
        </w:rPr>
        <w:t>В 2024 году состоялся фестиваль городов-побратимов «Дни Нижнего Новгорода в Бухаре». Проведено свыше 15 мероприятий кул</w:t>
      </w:r>
      <w:r>
        <w:rPr>
          <w:color w:val="000000" w:themeColor="text1"/>
          <w:sz w:val="28"/>
          <w:szCs w:val="28"/>
        </w:rPr>
        <w:t xml:space="preserve">ьтурной и образовательной </w:t>
      </w:r>
      <w:r>
        <w:rPr>
          <w:color w:val="auto"/>
          <w:sz w:val="28"/>
          <w:szCs w:val="28"/>
        </w:rPr>
        <w:t>направленности, подписано 3 соглашения о сотрудничестве.</w:t>
      </w:r>
    </w:p>
    <w:p w:rsidR="00832A05" w:rsidRDefault="00311484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улучшения материально-технической базы учреждений культуры и дополнительного образования, продолжается работа по привлечению федерального и областного финансирования за </w:t>
      </w:r>
      <w:r>
        <w:rPr>
          <w:color w:val="000000" w:themeColor="text1"/>
          <w:sz w:val="28"/>
          <w:szCs w:val="28"/>
        </w:rPr>
        <w:t xml:space="preserve">счет участия в различных программах, а также </w:t>
      </w:r>
      <w:proofErr w:type="spellStart"/>
      <w:r>
        <w:rPr>
          <w:color w:val="000000" w:themeColor="text1"/>
          <w:sz w:val="28"/>
          <w:szCs w:val="28"/>
        </w:rPr>
        <w:t>грантовых</w:t>
      </w:r>
      <w:proofErr w:type="spellEnd"/>
      <w:r>
        <w:rPr>
          <w:color w:val="000000" w:themeColor="text1"/>
          <w:sz w:val="28"/>
          <w:szCs w:val="28"/>
        </w:rPr>
        <w:t xml:space="preserve"> конкурсах.</w:t>
      </w:r>
    </w:p>
    <w:p w:rsidR="00832A05" w:rsidRDefault="00311484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рамках национального проекта «Культура» проводятся мероприятия по мод</w:t>
      </w:r>
      <w:r>
        <w:rPr>
          <w:color w:val="000000" w:themeColor="text1"/>
          <w:sz w:val="28"/>
          <w:szCs w:val="28"/>
        </w:rPr>
        <w:t xml:space="preserve">ернизации библиотеки им. Ленинского Комсомола МКУК ЦБС Сормовского района, закуплено современное звуковое и световое оборудование для МБУК «Нижегородский театр комедии» и МБУК «Нижегородский Камерный театр оперы и музыкальной комедии им. В.Т. Степанова». </w:t>
      </w:r>
    </w:p>
    <w:p w:rsidR="00832A05" w:rsidRDefault="00311484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Федеральную </w:t>
      </w:r>
      <w:proofErr w:type="gramStart"/>
      <w:r>
        <w:rPr>
          <w:color w:val="000000" w:themeColor="text1"/>
          <w:sz w:val="28"/>
          <w:szCs w:val="28"/>
        </w:rPr>
        <w:t>субсидию  на</w:t>
      </w:r>
      <w:proofErr w:type="gramEnd"/>
      <w:r>
        <w:rPr>
          <w:color w:val="000000" w:themeColor="text1"/>
          <w:sz w:val="28"/>
          <w:szCs w:val="28"/>
        </w:rPr>
        <w:t xml:space="preserve"> постановку новых спектаклей (в размере   2,9 млн. руб.) получил МБУК «Детский театр «Вера».</w:t>
      </w:r>
    </w:p>
    <w:p w:rsidR="00832A05" w:rsidRDefault="00311484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реализации мероприятий по модернизации библиотек в части комплектования книжных фондов библиотекам города Нижнего Новгорода выделена су</w:t>
      </w:r>
      <w:r>
        <w:rPr>
          <w:color w:val="000000" w:themeColor="text1"/>
          <w:sz w:val="28"/>
          <w:szCs w:val="28"/>
        </w:rPr>
        <w:t xml:space="preserve">бсидия в размере 4,1 млн. руб. </w:t>
      </w:r>
    </w:p>
    <w:p w:rsidR="00832A05" w:rsidRDefault="00311484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>В 2024 году после проведенного капитального ремонта откроется библиотека семейного чтения МКУК ЦБС Ленинского района, модернизированная в рамках регионального проекта по созданию модельных муниципальных библиотек Нижегородск</w:t>
      </w:r>
      <w:r>
        <w:rPr>
          <w:color w:val="000000" w:themeColor="text1"/>
          <w:sz w:val="28"/>
          <w:szCs w:val="28"/>
        </w:rPr>
        <w:t>ой области.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целью улучшения материально-технической базы учреждений </w:t>
      </w:r>
      <w:proofErr w:type="gramStart"/>
      <w:r>
        <w:rPr>
          <w:color w:val="000000" w:themeColor="text1"/>
          <w:sz w:val="28"/>
          <w:szCs w:val="28"/>
        </w:rPr>
        <w:t>культуры  в</w:t>
      </w:r>
      <w:proofErr w:type="gramEnd"/>
      <w:r>
        <w:rPr>
          <w:color w:val="000000" w:themeColor="text1"/>
          <w:sz w:val="28"/>
          <w:szCs w:val="28"/>
        </w:rPr>
        <w:t xml:space="preserve"> 2024 году завершены работы по капитальному ремонту с элементами реставрации в МАУК «Нижегородский планетарий им. </w:t>
      </w:r>
      <w:proofErr w:type="spellStart"/>
      <w:r>
        <w:rPr>
          <w:color w:val="000000" w:themeColor="text1"/>
          <w:sz w:val="28"/>
          <w:szCs w:val="28"/>
        </w:rPr>
        <w:t>Г.М.Гречко</w:t>
      </w:r>
      <w:proofErr w:type="spellEnd"/>
      <w:r>
        <w:rPr>
          <w:color w:val="000000" w:themeColor="text1"/>
          <w:sz w:val="28"/>
          <w:szCs w:val="28"/>
        </w:rPr>
        <w:t>». На завершающей стадии реставрация ОКН региональн</w:t>
      </w:r>
      <w:r>
        <w:rPr>
          <w:color w:val="000000" w:themeColor="text1"/>
          <w:sz w:val="28"/>
          <w:szCs w:val="28"/>
        </w:rPr>
        <w:t>ого значения «Изба Салтыковой» и 2 этап работ по наружным сетям водоснабжения МАУК АЭМЗ «</w:t>
      </w:r>
      <w:proofErr w:type="spellStart"/>
      <w:r>
        <w:rPr>
          <w:color w:val="000000" w:themeColor="text1"/>
          <w:sz w:val="28"/>
          <w:szCs w:val="28"/>
        </w:rPr>
        <w:t>Щелоковский</w:t>
      </w:r>
      <w:proofErr w:type="spellEnd"/>
      <w:r>
        <w:rPr>
          <w:color w:val="000000" w:themeColor="text1"/>
          <w:sz w:val="28"/>
          <w:szCs w:val="28"/>
        </w:rPr>
        <w:t xml:space="preserve"> хутор».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Ведутся работы по капитальному ремонту МБУ ДО «ДШИ №9 им. А.Д. </w:t>
      </w:r>
      <w:proofErr w:type="spellStart"/>
      <w:r>
        <w:rPr>
          <w:color w:val="000000" w:themeColor="text1"/>
          <w:sz w:val="28"/>
          <w:szCs w:val="28"/>
        </w:rPr>
        <w:t>Улыбышева</w:t>
      </w:r>
      <w:proofErr w:type="spellEnd"/>
      <w:r>
        <w:rPr>
          <w:color w:val="000000" w:themeColor="text1"/>
          <w:sz w:val="28"/>
          <w:szCs w:val="28"/>
        </w:rPr>
        <w:t xml:space="preserve">» (1 этап), фондохранилища МБУК «Государственный музей </w:t>
      </w:r>
      <w:proofErr w:type="spellStart"/>
      <w:r>
        <w:rPr>
          <w:color w:val="000000" w:themeColor="text1"/>
          <w:sz w:val="28"/>
          <w:szCs w:val="28"/>
        </w:rPr>
        <w:t>А.М.Горького</w:t>
      </w:r>
      <w:proofErr w:type="spellEnd"/>
      <w:r>
        <w:rPr>
          <w:color w:val="000000" w:themeColor="text1"/>
          <w:sz w:val="28"/>
          <w:szCs w:val="28"/>
        </w:rPr>
        <w:t>», кровл</w:t>
      </w:r>
      <w:r>
        <w:rPr>
          <w:color w:val="000000" w:themeColor="text1"/>
          <w:sz w:val="28"/>
          <w:szCs w:val="28"/>
        </w:rPr>
        <w:t xml:space="preserve">и МБУК «Музейно-выставочный центр «Микула» и ЦРДБ им. </w:t>
      </w:r>
      <w:proofErr w:type="spellStart"/>
      <w:r>
        <w:rPr>
          <w:color w:val="000000" w:themeColor="text1"/>
          <w:sz w:val="28"/>
          <w:szCs w:val="28"/>
        </w:rPr>
        <w:t>А.Пешкова</w:t>
      </w:r>
      <w:proofErr w:type="spellEnd"/>
      <w:r>
        <w:rPr>
          <w:color w:val="000000" w:themeColor="text1"/>
          <w:sz w:val="28"/>
          <w:szCs w:val="28"/>
        </w:rPr>
        <w:t xml:space="preserve"> МКУК ЦБС Канавинского района.</w:t>
      </w:r>
    </w:p>
    <w:p w:rsidR="00832A05" w:rsidRDefault="00311484">
      <w:pPr>
        <w:shd w:val="clear" w:color="auto" w:fill="FFFFFF"/>
        <w:ind w:firstLine="7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целях повышения доступности и качества предоставляемых услуг населению муниципальными учреждениями культуры и дополнительного образования в сфере культуры и иск</w:t>
      </w:r>
      <w:r>
        <w:rPr>
          <w:color w:val="000000" w:themeColor="text1"/>
          <w:sz w:val="28"/>
          <w:szCs w:val="28"/>
        </w:rPr>
        <w:t>усства, а также создания надлежащих условий, оснащения и совершенствования материально-технической базы муниципальных учреждений будет продолжена работа по: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проведению ремонтных и реставрационных работ объектов культуры (</w:t>
      </w:r>
      <w:proofErr w:type="spellStart"/>
      <w:r>
        <w:rPr>
          <w:color w:val="000000" w:themeColor="text1"/>
          <w:sz w:val="28"/>
          <w:szCs w:val="28"/>
        </w:rPr>
        <w:t>ЦКиД</w:t>
      </w:r>
      <w:proofErr w:type="spellEnd"/>
      <w:r>
        <w:rPr>
          <w:color w:val="000000" w:themeColor="text1"/>
          <w:sz w:val="28"/>
          <w:szCs w:val="28"/>
        </w:rPr>
        <w:t xml:space="preserve"> «Искра», МБУК «Музейно-выставо</w:t>
      </w:r>
      <w:r>
        <w:rPr>
          <w:color w:val="000000" w:themeColor="text1"/>
          <w:sz w:val="28"/>
          <w:szCs w:val="28"/>
        </w:rPr>
        <w:t xml:space="preserve">чный центр «Микула», МАУК «Дворец культуры им. </w:t>
      </w:r>
      <w:proofErr w:type="spellStart"/>
      <w:r>
        <w:rPr>
          <w:color w:val="000000" w:themeColor="text1"/>
          <w:sz w:val="28"/>
          <w:szCs w:val="28"/>
        </w:rPr>
        <w:t>С.Орджоникидзе</w:t>
      </w:r>
      <w:proofErr w:type="spellEnd"/>
      <w:r>
        <w:rPr>
          <w:color w:val="000000" w:themeColor="text1"/>
          <w:sz w:val="28"/>
          <w:szCs w:val="28"/>
        </w:rPr>
        <w:t xml:space="preserve">», МБУК «Нижегородский театр комедии», филиале «ДК Новинки» МБУК </w:t>
      </w:r>
      <w:proofErr w:type="spellStart"/>
      <w:r>
        <w:rPr>
          <w:color w:val="000000" w:themeColor="text1"/>
          <w:sz w:val="28"/>
          <w:szCs w:val="28"/>
        </w:rPr>
        <w:t>ЦКиД</w:t>
      </w:r>
      <w:proofErr w:type="spellEnd"/>
      <w:r>
        <w:rPr>
          <w:color w:val="000000" w:themeColor="text1"/>
          <w:sz w:val="28"/>
          <w:szCs w:val="28"/>
        </w:rPr>
        <w:t xml:space="preserve"> «Молодежный», МБУК ОДЦ «Смена»,</w:t>
      </w:r>
      <w:r>
        <w:rPr>
          <w:color w:val="auto"/>
          <w:sz w:val="28"/>
          <w:szCs w:val="28"/>
        </w:rPr>
        <w:t xml:space="preserve"> МБУК ОДЦ «Орленок»,</w:t>
      </w:r>
      <w:r>
        <w:rPr>
          <w:color w:val="000000" w:themeColor="text1"/>
          <w:sz w:val="28"/>
          <w:szCs w:val="28"/>
        </w:rPr>
        <w:t xml:space="preserve"> ОКН федерального значения «Дом, в котором в 1902-1904 гг. находилась посл</w:t>
      </w:r>
      <w:r>
        <w:rPr>
          <w:color w:val="000000" w:themeColor="text1"/>
          <w:sz w:val="28"/>
          <w:szCs w:val="28"/>
        </w:rPr>
        <w:t xml:space="preserve">едняя квартира </w:t>
      </w:r>
      <w:proofErr w:type="spellStart"/>
      <w:r>
        <w:rPr>
          <w:color w:val="000000" w:themeColor="text1"/>
          <w:sz w:val="28"/>
          <w:szCs w:val="28"/>
        </w:rPr>
        <w:t>А.М.Горького</w:t>
      </w:r>
      <w:proofErr w:type="spellEnd"/>
      <w:r>
        <w:rPr>
          <w:color w:val="000000" w:themeColor="text1"/>
          <w:sz w:val="28"/>
          <w:szCs w:val="28"/>
        </w:rPr>
        <w:t xml:space="preserve"> в Нижнем Новгороде», в 6-ти библиотеках и 5-ти учреждениях дополнительного образования, а также реставрация ОКН «Дом Пашковой» МАУК АЭМЗ «</w:t>
      </w:r>
      <w:proofErr w:type="spellStart"/>
      <w:r>
        <w:rPr>
          <w:color w:val="000000" w:themeColor="text1"/>
          <w:sz w:val="28"/>
          <w:szCs w:val="28"/>
        </w:rPr>
        <w:t>Щелоковский</w:t>
      </w:r>
      <w:proofErr w:type="spellEnd"/>
      <w:r>
        <w:rPr>
          <w:color w:val="000000" w:themeColor="text1"/>
          <w:sz w:val="28"/>
          <w:szCs w:val="28"/>
        </w:rPr>
        <w:t xml:space="preserve"> хутор» и гидротехнического комплекса ОКН «Водяная мельница»);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приобретению меб</w:t>
      </w:r>
      <w:r>
        <w:rPr>
          <w:color w:val="000000" w:themeColor="text1"/>
          <w:sz w:val="28"/>
          <w:szCs w:val="28"/>
        </w:rPr>
        <w:t>ели, оргтехники и цифрового оборудования для муниципальных учреждений культуры и дополнительного образования;</w:t>
      </w:r>
    </w:p>
    <w:p w:rsidR="00832A05" w:rsidRDefault="00311484">
      <w:pPr>
        <w:ind w:firstLine="709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обновлению фондов муниципальных публичных библиотек и организации на их базе современных информационных центров и библиотек нового формата. </w:t>
      </w:r>
    </w:p>
    <w:p w:rsidR="00832A05" w:rsidRDefault="0031148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пе</w:t>
      </w:r>
      <w:r>
        <w:rPr>
          <w:color w:val="000000" w:themeColor="text1"/>
          <w:sz w:val="28"/>
          <w:szCs w:val="28"/>
        </w:rPr>
        <w:t>риод 2025-2027 гг. запланировано проведение как уже традиционных городских мероприятий, так и разработка новых культурно-досуговых событий для разных категорий граждан (в т.ч. празднование Дня Победы, Дня народного единства, Дня города, новогоднего фестива</w:t>
      </w:r>
      <w:r>
        <w:rPr>
          <w:color w:val="000000" w:themeColor="text1"/>
          <w:sz w:val="28"/>
          <w:szCs w:val="28"/>
        </w:rPr>
        <w:t>ля «Горьковская елка», фестиваля «Осень в Швейцарии», фестиваля театральных комедий «</w:t>
      </w:r>
      <w:proofErr w:type="spellStart"/>
      <w:r>
        <w:rPr>
          <w:color w:val="000000" w:themeColor="text1"/>
          <w:sz w:val="28"/>
          <w:szCs w:val="28"/>
        </w:rPr>
        <w:t>Комед</w:t>
      </w:r>
      <w:r>
        <w:rPr>
          <w:color w:val="000000" w:themeColor="text1"/>
          <w:sz w:val="28"/>
          <w:szCs w:val="28"/>
          <w:lang w:val="en-US"/>
        </w:rPr>
        <w:t>i</w:t>
      </w:r>
      <w:proofErr w:type="spellEnd"/>
      <w:r>
        <w:rPr>
          <w:color w:val="000000" w:themeColor="text1"/>
          <w:sz w:val="28"/>
          <w:szCs w:val="28"/>
        </w:rPr>
        <w:t>я-</w:t>
      </w:r>
      <w:proofErr w:type="spellStart"/>
      <w:r>
        <w:rPr>
          <w:color w:val="000000" w:themeColor="text1"/>
          <w:sz w:val="28"/>
          <w:szCs w:val="28"/>
        </w:rPr>
        <w:t>фест</w:t>
      </w:r>
      <w:proofErr w:type="spellEnd"/>
      <w:r>
        <w:rPr>
          <w:color w:val="000000" w:themeColor="text1"/>
          <w:sz w:val="28"/>
          <w:szCs w:val="28"/>
        </w:rPr>
        <w:t>», фольклорного фестиваля «Хрустальный ключ», всероссийской акции «Ночь музеев» и многих других).</w:t>
      </w:r>
    </w:p>
    <w:p w:rsidR="00832A05" w:rsidRDefault="00311484">
      <w:pPr>
        <w:ind w:firstLine="709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en-US"/>
        </w:rPr>
        <w:t xml:space="preserve">Молодежная политика </w:t>
      </w:r>
      <w:r>
        <w:rPr>
          <w:rFonts w:eastAsia="Times New Roman"/>
          <w:color w:val="auto"/>
          <w:sz w:val="28"/>
          <w:szCs w:val="28"/>
          <w:lang w:eastAsia="en-US"/>
        </w:rPr>
        <w:t>на территории города продолжает осуществл</w:t>
      </w:r>
      <w:r>
        <w:rPr>
          <w:rFonts w:eastAsia="Times New Roman"/>
          <w:color w:val="auto"/>
          <w:sz w:val="28"/>
          <w:szCs w:val="28"/>
          <w:lang w:eastAsia="en-US"/>
        </w:rPr>
        <w:t xml:space="preserve">яться в соответствии с муниципальной программой «Молодежь Нижнего Новгорода на </w:t>
      </w:r>
      <w:r>
        <w:rPr>
          <w:rFonts w:eastAsia="Times New Roman"/>
          <w:color w:val="auto"/>
          <w:sz w:val="28"/>
          <w:szCs w:val="28"/>
          <w:lang w:eastAsia="en-US"/>
        </w:rPr>
        <w:lastRenderedPageBreak/>
        <w:t>2023-2028 годы».</w:t>
      </w:r>
      <w:r>
        <w:rPr>
          <w:rFonts w:eastAsia="Times New Roman"/>
          <w:color w:val="FF0000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Деятельность по программе строится через проекты, направленные на:</w:t>
      </w:r>
    </w:p>
    <w:p w:rsidR="00832A05" w:rsidRDefault="00311484">
      <w:pPr>
        <w:numPr>
          <w:ilvl w:val="0"/>
          <w:numId w:val="7"/>
        </w:numPr>
        <w:ind w:left="0"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Реализацию комплекса мер по поддержке молодежных организаций и солидарностей. Данное направление включает в себя проведение молодежных форумов различной направленности: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карьерный форум «Молодой Нижний» для активной молодежи города Нижнего Новгорода, направ</w:t>
      </w:r>
      <w:r>
        <w:rPr>
          <w:rFonts w:eastAsia="Times New Roman"/>
          <w:sz w:val="28"/>
          <w:szCs w:val="28"/>
          <w:lang w:eastAsia="en-US"/>
        </w:rPr>
        <w:t>ленный на эффективное взаимодействие молодежи и профессионального сообщества по вопросам создания условий развития системы образования и рынка труда на территории нашего города;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форум «Студенческий Нижний», который является неформальной образовательной пло</w:t>
      </w:r>
      <w:r>
        <w:rPr>
          <w:rFonts w:eastAsia="Times New Roman"/>
          <w:sz w:val="28"/>
          <w:szCs w:val="28"/>
          <w:lang w:eastAsia="en-US"/>
        </w:rPr>
        <w:t xml:space="preserve">щадкой для студентов ВУЗов и </w:t>
      </w:r>
      <w:proofErr w:type="spellStart"/>
      <w:r>
        <w:rPr>
          <w:rFonts w:eastAsia="Times New Roman"/>
          <w:sz w:val="28"/>
          <w:szCs w:val="28"/>
          <w:lang w:eastAsia="en-US"/>
        </w:rPr>
        <w:t>ССУЗов</w:t>
      </w:r>
      <w:proofErr w:type="spellEnd"/>
      <w:r>
        <w:rPr>
          <w:rFonts w:eastAsia="Times New Roman"/>
          <w:sz w:val="28"/>
          <w:szCs w:val="28"/>
          <w:lang w:eastAsia="en-US"/>
        </w:rPr>
        <w:t xml:space="preserve"> города. В рамках форума проходят встречи с различными спикерами, интересными молодежи;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медиа-форум «Молодой Нижний» для творческой молодежи, в рамках которого проводится обучение по креативным направлениям: дизайн, видео</w:t>
      </w:r>
      <w:r>
        <w:rPr>
          <w:rFonts w:eastAsia="Times New Roman"/>
          <w:sz w:val="28"/>
          <w:szCs w:val="28"/>
          <w:lang w:eastAsia="en-US"/>
        </w:rPr>
        <w:t xml:space="preserve">- и </w:t>
      </w:r>
      <w:proofErr w:type="gramStart"/>
      <w:r>
        <w:rPr>
          <w:rFonts w:eastAsia="Times New Roman"/>
          <w:sz w:val="28"/>
          <w:szCs w:val="28"/>
          <w:lang w:eastAsia="en-US"/>
        </w:rPr>
        <w:t>фото- съемка</w:t>
      </w:r>
      <w:proofErr w:type="gramEnd"/>
      <w:r>
        <w:rPr>
          <w:rFonts w:eastAsia="Times New Roman"/>
          <w:sz w:val="28"/>
          <w:szCs w:val="28"/>
          <w:lang w:eastAsia="en-US"/>
        </w:rPr>
        <w:t>, креативное мышление и другим творческим направлениям.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2. Организацию и проведение мероприятий, направленных на формирование у молодежи духовно-нравственных, патриотических и семейных ценностей, устойчивых потребностей в творческой самореа</w:t>
      </w:r>
      <w:r>
        <w:rPr>
          <w:rFonts w:eastAsia="Times New Roman"/>
          <w:sz w:val="28"/>
          <w:szCs w:val="28"/>
          <w:lang w:eastAsia="en-US"/>
        </w:rPr>
        <w:t xml:space="preserve">лизации, установки на здоровый образ жизни. 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Данное направление включает в себя такие мероприятия как: </w:t>
      </w:r>
      <w:proofErr w:type="spellStart"/>
      <w:r>
        <w:rPr>
          <w:rFonts w:eastAsia="Times New Roman"/>
          <w:sz w:val="28"/>
          <w:szCs w:val="28"/>
          <w:lang w:eastAsia="en-US"/>
        </w:rPr>
        <w:t>историко</w:t>
      </w:r>
      <w:proofErr w:type="spellEnd"/>
      <w:r>
        <w:rPr>
          <w:rFonts w:eastAsia="Times New Roman"/>
          <w:sz w:val="28"/>
          <w:szCs w:val="28"/>
          <w:lang w:eastAsia="en-US"/>
        </w:rPr>
        <w:t xml:space="preserve"> – патриотический проект «Битва за Нижний» в очном формате и в онлайн формате с помощью специально разработанного веб приложения; Городская спарт</w:t>
      </w:r>
      <w:r>
        <w:rPr>
          <w:rFonts w:eastAsia="Times New Roman"/>
          <w:sz w:val="28"/>
          <w:szCs w:val="28"/>
          <w:lang w:eastAsia="en-US"/>
        </w:rPr>
        <w:t xml:space="preserve">акиада работающей молодежи; Чествование трудовых династий; патриотический форум «Связь поколений» и другие. 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8"/>
          <w:szCs w:val="28"/>
          <w:lang w:eastAsia="en-US"/>
        </w:rPr>
        <w:t>3.Реализацию мер по поощрению студенческой молодежи за достижения в учебе, поддержке социально незащищенных категорий студентов.</w:t>
      </w:r>
    </w:p>
    <w:p w:rsidR="00832A05" w:rsidRDefault="00311484">
      <w:pPr>
        <w:ind w:firstLine="709"/>
        <w:contextualSpacing/>
        <w:jc w:val="both"/>
        <w:rPr>
          <w:rFonts w:eastAsia="Times New Roman"/>
          <w:strike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В целях поощрения </w:t>
      </w:r>
      <w:r>
        <w:rPr>
          <w:rFonts w:eastAsia="Times New Roman"/>
          <w:sz w:val="28"/>
          <w:szCs w:val="28"/>
          <w:lang w:eastAsia="en-US"/>
        </w:rPr>
        <w:t>социально-значимой, интеллектуальной и творческой деятельности молодежи, а также в качестве меры дополнительной поддержки социально незащищенных категорий молодежи будут предоставляться городские стипендии: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городская именная стипендия имени К. Минина и Д. </w:t>
      </w:r>
      <w:r>
        <w:rPr>
          <w:rFonts w:eastAsia="Times New Roman"/>
          <w:sz w:val="28"/>
          <w:szCs w:val="28"/>
          <w:lang w:eastAsia="en-US"/>
        </w:rPr>
        <w:t>Пожарского;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городская именная стипендия для социально незащищенных категорий студентов;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именная стипендия главы города Нижнего Новгорода.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4. Реализацию мер по поддержке инициатив молодежи, в т.ч.  проведение Городского конкурса молодежных проектов «Молод</w:t>
      </w:r>
      <w:r>
        <w:rPr>
          <w:rFonts w:eastAsia="Times New Roman"/>
          <w:sz w:val="28"/>
          <w:szCs w:val="28"/>
          <w:lang w:eastAsia="en-US"/>
        </w:rPr>
        <w:t>ой Нижний» с целью</w:t>
      </w:r>
      <w:r>
        <w:rPr>
          <w:rFonts w:eastAsia="Times New Roman"/>
          <w:b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вовлечения молодежи в социальную практику и раскрытие ее потенциала в интересах развития города Нижнего Новгорода. 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5. Содействие участию молодежи в добровольческой (волонтерской деятельности). 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На базе молодежного пространства «Молодой </w:t>
      </w:r>
      <w:r>
        <w:rPr>
          <w:rFonts w:eastAsia="Times New Roman"/>
          <w:sz w:val="28"/>
          <w:szCs w:val="28"/>
          <w:lang w:eastAsia="en-US"/>
        </w:rPr>
        <w:t xml:space="preserve">Нижний» планируется создание </w:t>
      </w:r>
      <w:proofErr w:type="spellStart"/>
      <w:r>
        <w:rPr>
          <w:rFonts w:eastAsia="Times New Roman"/>
          <w:sz w:val="28"/>
          <w:szCs w:val="28"/>
          <w:lang w:eastAsia="en-US"/>
        </w:rPr>
        <w:t>Добро.Центра</w:t>
      </w:r>
      <w:proofErr w:type="spellEnd"/>
      <w:r>
        <w:rPr>
          <w:rFonts w:eastAsia="Times New Roman"/>
          <w:sz w:val="28"/>
          <w:szCs w:val="28"/>
          <w:lang w:eastAsia="en-US"/>
        </w:rPr>
        <w:t xml:space="preserve">, который станет ресурсным центром для городских добровольческих и волонтерских организаций. 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 xml:space="preserve">6. Развитие студенческого самоуправления. 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lastRenderedPageBreak/>
        <w:t>Городской студенческий совет города Нижнего Новгорода продолжит взаимодействие</w:t>
      </w:r>
      <w:r>
        <w:rPr>
          <w:rFonts w:eastAsia="Times New Roman"/>
          <w:sz w:val="28"/>
          <w:szCs w:val="28"/>
          <w:lang w:eastAsia="en-US"/>
        </w:rPr>
        <w:t xml:space="preserve"> со студенческими советами образовательных организаций, находящихся на территории города, в целях вовлечения студенческой молодежи в реализацию молодежной политики на территории города, консолидации студенчества для решения актуальных студенческих проблем,</w:t>
      </w:r>
      <w:r>
        <w:rPr>
          <w:rFonts w:eastAsia="Times New Roman"/>
          <w:sz w:val="28"/>
          <w:szCs w:val="28"/>
          <w:lang w:eastAsia="en-US"/>
        </w:rPr>
        <w:t xml:space="preserve"> создания условий для участия молодежи в политической, социально-экономической, научной, спортивной и культурной жизни общества, организации социально-значимой деятельности в городе Нижнем Новгороде.</w:t>
      </w:r>
      <w:r>
        <w:rPr>
          <w:rFonts w:eastAsia="Times New Roman"/>
          <w:sz w:val="28"/>
          <w:szCs w:val="28"/>
        </w:rPr>
        <w:t xml:space="preserve"> При участии студенческого совета планируется проведение </w:t>
      </w:r>
      <w:r>
        <w:rPr>
          <w:rFonts w:eastAsia="Times New Roman"/>
          <w:sz w:val="28"/>
          <w:szCs w:val="28"/>
        </w:rPr>
        <w:t>таких мероприятий как: День Студента, День первокурсника, День здоровья, карьерный форум «Молодой Нижний», форум «Студенческий Нижний», Городская акция «Чистый Нижний», Городской праздник День молодежи и пр.</w:t>
      </w:r>
    </w:p>
    <w:p w:rsidR="00832A05" w:rsidRDefault="00311484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en-US"/>
        </w:rPr>
        <w:t>С целью организации взаимодействия администрации</w:t>
      </w:r>
      <w:r>
        <w:rPr>
          <w:rFonts w:eastAsia="Times New Roman"/>
          <w:sz w:val="28"/>
          <w:szCs w:val="28"/>
          <w:lang w:eastAsia="en-US"/>
        </w:rPr>
        <w:t xml:space="preserve"> города Нижнего Новгорода с предприятиями, организациями, учреждениями, действующими на территории города Нижнего Новгорода, по решению вопросов, касающихся интересов работающей молодежи, продолжит деятельность Молодежный совет специалистов предприятий и о</w:t>
      </w:r>
      <w:r>
        <w:rPr>
          <w:rFonts w:eastAsia="Times New Roman"/>
          <w:sz w:val="28"/>
          <w:szCs w:val="28"/>
          <w:lang w:eastAsia="en-US"/>
        </w:rPr>
        <w:t>рганизаций города Нижнего Новгорода. Совет создан для обеспечения эффективного участия работающей молодежи города в реализации молодежной политики города Нижнего Новгорода, выработки инновационных подходов в решении проблем молодежи города и содействию общ</w:t>
      </w:r>
      <w:r>
        <w:rPr>
          <w:rFonts w:eastAsia="Times New Roman"/>
          <w:sz w:val="28"/>
          <w:szCs w:val="28"/>
          <w:lang w:eastAsia="en-US"/>
        </w:rPr>
        <w:t xml:space="preserve">ественно полезным социальным инициативам работающей молодежи. При участии Совета планируется проведение таких мероприятий как: карьерный форум «Молодой Нижний», Городская спартакиада работающей молодежи, </w:t>
      </w:r>
      <w:proofErr w:type="spellStart"/>
      <w:r>
        <w:rPr>
          <w:rFonts w:eastAsia="Times New Roman"/>
          <w:sz w:val="28"/>
          <w:szCs w:val="28"/>
          <w:lang w:eastAsia="en-US"/>
        </w:rPr>
        <w:t>профориентационный</w:t>
      </w:r>
      <w:proofErr w:type="spellEnd"/>
      <w:r>
        <w:rPr>
          <w:rFonts w:eastAsia="Times New Roman"/>
          <w:sz w:val="28"/>
          <w:szCs w:val="28"/>
          <w:lang w:eastAsia="en-US"/>
        </w:rPr>
        <w:t xml:space="preserve"> проект «В гости», конкурс «Трудов</w:t>
      </w:r>
      <w:r>
        <w:rPr>
          <w:rFonts w:eastAsia="Times New Roman"/>
          <w:sz w:val="28"/>
          <w:szCs w:val="28"/>
          <w:lang w:eastAsia="en-US"/>
        </w:rPr>
        <w:t>ые династии», Слет работающей молодежи и др.</w:t>
      </w:r>
    </w:p>
    <w:p w:rsidR="00832A05" w:rsidRDefault="00311484">
      <w:pPr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en-US"/>
        </w:rPr>
        <w:t>Для информирования молодежи о реализации проектов и проведении мероприятий в социальной сети (</w:t>
      </w:r>
      <w:proofErr w:type="spellStart"/>
      <w:r>
        <w:rPr>
          <w:rFonts w:eastAsia="Times New Roman"/>
          <w:color w:val="auto"/>
          <w:sz w:val="28"/>
          <w:szCs w:val="28"/>
          <w:lang w:eastAsia="en-US"/>
        </w:rPr>
        <w:t>ВКонтакте</w:t>
      </w:r>
      <w:proofErr w:type="spellEnd"/>
      <w:r>
        <w:rPr>
          <w:rFonts w:eastAsia="Times New Roman"/>
          <w:color w:val="auto"/>
          <w:sz w:val="28"/>
          <w:szCs w:val="28"/>
          <w:lang w:eastAsia="en-US"/>
        </w:rPr>
        <w:t>) создана группа «Молодой Нижний».</w:t>
      </w:r>
    </w:p>
    <w:p w:rsidR="00832A05" w:rsidRDefault="00832A05">
      <w:pPr>
        <w:ind w:firstLine="709"/>
        <w:jc w:val="both"/>
        <w:rPr>
          <w:rFonts w:eastAsia="Times New Roman"/>
          <w:color w:val="FF0000"/>
          <w:sz w:val="28"/>
          <w:szCs w:val="28"/>
        </w:rPr>
      </w:pPr>
    </w:p>
    <w:p w:rsidR="00832A05" w:rsidRDefault="00832A05">
      <w:pPr>
        <w:ind w:firstLine="709"/>
        <w:jc w:val="both"/>
        <w:rPr>
          <w:rFonts w:eastAsia="Times New Roman"/>
          <w:color w:val="FF0000"/>
          <w:sz w:val="28"/>
          <w:szCs w:val="28"/>
          <w:lang w:eastAsia="en-US"/>
        </w:rPr>
      </w:pPr>
    </w:p>
    <w:p w:rsidR="00832A05" w:rsidRDefault="00832A05">
      <w:pPr>
        <w:ind w:firstLine="709"/>
        <w:jc w:val="both"/>
        <w:rPr>
          <w:rFonts w:eastAsia="Times New Roman"/>
          <w:color w:val="FF0000"/>
          <w:sz w:val="28"/>
          <w:szCs w:val="28"/>
          <w:lang w:eastAsia="en-US"/>
        </w:rPr>
      </w:pPr>
    </w:p>
    <w:p w:rsidR="00832A05" w:rsidRDefault="00832A05">
      <w:pPr>
        <w:ind w:firstLine="709"/>
        <w:jc w:val="both"/>
        <w:rPr>
          <w:rFonts w:eastAsia="Times New Roman"/>
          <w:color w:val="FF0000"/>
          <w:sz w:val="28"/>
          <w:szCs w:val="28"/>
          <w:lang w:eastAsia="en-US"/>
        </w:rPr>
      </w:pPr>
    </w:p>
    <w:p w:rsidR="00832A05" w:rsidRDefault="00832A05">
      <w:pPr>
        <w:ind w:right="-1" w:firstLine="709"/>
        <w:jc w:val="both"/>
        <w:rPr>
          <w:color w:val="FF0000"/>
          <w:sz w:val="28"/>
          <w:szCs w:val="28"/>
        </w:rPr>
      </w:pPr>
    </w:p>
    <w:p w:rsidR="00832A05" w:rsidRDefault="00832A05">
      <w:pPr>
        <w:ind w:right="-1" w:firstLine="709"/>
        <w:jc w:val="both"/>
        <w:rPr>
          <w:color w:val="FF0000"/>
          <w:sz w:val="28"/>
          <w:szCs w:val="28"/>
        </w:rPr>
      </w:pPr>
    </w:p>
    <w:p w:rsidR="00832A05" w:rsidRDefault="00832A05">
      <w:pPr>
        <w:ind w:right="-1" w:firstLine="709"/>
        <w:jc w:val="both"/>
        <w:rPr>
          <w:color w:val="FF0000"/>
          <w:sz w:val="28"/>
          <w:szCs w:val="28"/>
        </w:rPr>
      </w:pPr>
    </w:p>
    <w:p w:rsidR="00832A05" w:rsidRDefault="00832A05">
      <w:pPr>
        <w:jc w:val="both"/>
        <w:rPr>
          <w:color w:val="FF0000"/>
          <w:sz w:val="28"/>
          <w:szCs w:val="28"/>
        </w:rPr>
      </w:pPr>
    </w:p>
    <w:p w:rsidR="00832A05" w:rsidRDefault="00832A05">
      <w:pPr>
        <w:ind w:firstLine="709"/>
        <w:jc w:val="both"/>
        <w:rPr>
          <w:color w:val="FF0000"/>
          <w:sz w:val="28"/>
          <w:szCs w:val="28"/>
        </w:rPr>
        <w:sectPr w:rsidR="00832A05">
          <w:headerReference w:type="default" r:id="rId42"/>
          <w:type w:val="continuous"/>
          <w:pgSz w:w="11907" w:h="16834"/>
          <w:pgMar w:top="1134" w:right="851" w:bottom="1134" w:left="1134" w:header="289" w:footer="289" w:gutter="0"/>
          <w:cols w:space="720"/>
          <w:titlePg/>
          <w:docGrid w:linePitch="360"/>
        </w:sectPr>
      </w:pPr>
    </w:p>
    <w:p w:rsidR="00832A05" w:rsidRDefault="00311484">
      <w:pPr>
        <w:ind w:left="13608"/>
        <w:rPr>
          <w:color w:val="000000" w:themeColor="text1"/>
          <w:sz w:val="22"/>
          <w:szCs w:val="22"/>
        </w:rPr>
      </w:pPr>
      <w:r>
        <w:rPr>
          <w:color w:val="000000" w:themeColor="text1"/>
          <w:sz w:val="28"/>
          <w:szCs w:val="28"/>
        </w:rPr>
        <w:lastRenderedPageBreak/>
        <w:t xml:space="preserve">Приложение </w:t>
      </w:r>
    </w:p>
    <w:p w:rsidR="00832A05" w:rsidRDefault="00311484">
      <w:pPr>
        <w:ind w:left="136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 Прогнозу</w:t>
      </w:r>
    </w:p>
    <w:p w:rsidR="00832A05" w:rsidRDefault="00311484">
      <w:pPr>
        <w:tabs>
          <w:tab w:val="center" w:pos="7599"/>
          <w:tab w:val="left" w:pos="14100"/>
        </w:tabs>
        <w:rPr>
          <w:sz w:val="22"/>
          <w:szCs w:val="22"/>
        </w:rPr>
      </w:pPr>
      <w:r>
        <w:rPr>
          <w:color w:val="FF0000"/>
          <w:sz w:val="22"/>
          <w:szCs w:val="22"/>
        </w:rPr>
        <w:tab/>
      </w:r>
      <w:r>
        <w:rPr>
          <w:sz w:val="22"/>
          <w:szCs w:val="22"/>
        </w:rPr>
        <w:t xml:space="preserve">Прогноз </w:t>
      </w:r>
      <w:r>
        <w:rPr>
          <w:sz w:val="22"/>
          <w:szCs w:val="22"/>
        </w:rPr>
        <w:tab/>
      </w:r>
    </w:p>
    <w:p w:rsidR="00832A05" w:rsidRDefault="0031148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основных бюджетообразующих показателей социально-экономического развития </w:t>
      </w:r>
    </w:p>
    <w:p w:rsidR="00832A05" w:rsidRDefault="00311484">
      <w:pPr>
        <w:jc w:val="center"/>
        <w:rPr>
          <w:sz w:val="22"/>
          <w:szCs w:val="22"/>
        </w:rPr>
      </w:pPr>
      <w:r>
        <w:rPr>
          <w:sz w:val="22"/>
          <w:szCs w:val="22"/>
        </w:rPr>
        <w:t>города Нижнего Новгорода на 2025-2027 гг.</w:t>
      </w:r>
    </w:p>
    <w:p w:rsidR="00832A05" w:rsidRDefault="00832A05">
      <w:pPr>
        <w:jc w:val="center"/>
        <w:rPr>
          <w:color w:val="FF0000"/>
          <w:sz w:val="22"/>
          <w:szCs w:val="22"/>
        </w:rPr>
      </w:pPr>
    </w:p>
    <w:tbl>
      <w:tblPr>
        <w:tblW w:w="1555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4"/>
        <w:gridCol w:w="1418"/>
        <w:gridCol w:w="1417"/>
        <w:gridCol w:w="1418"/>
        <w:gridCol w:w="1417"/>
        <w:gridCol w:w="1418"/>
        <w:gridCol w:w="1417"/>
      </w:tblGrid>
      <w:tr w:rsidR="00832A05">
        <w:trPr>
          <w:tblHeader/>
        </w:trPr>
        <w:tc>
          <w:tcPr>
            <w:tcW w:w="7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</w:t>
            </w:r>
          </w:p>
          <w:p w:rsidR="00832A05" w:rsidRDefault="00832A05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</w:t>
            </w:r>
          </w:p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измерения</w:t>
            </w:r>
          </w:p>
          <w:p w:rsidR="00832A05" w:rsidRDefault="00832A0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прогноз</w:t>
            </w:r>
          </w:p>
        </w:tc>
      </w:tr>
      <w:tr w:rsidR="00832A05">
        <w:trPr>
          <w:trHeight w:val="430"/>
          <w:tblHeader/>
        </w:trPr>
        <w:tc>
          <w:tcPr>
            <w:tcW w:w="7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6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 год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отгруженной продукции собственного производства, выполненных работ и услуг собственными силами (по полному кругу предприятий)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1 841 462,2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2 153 692,0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2 359 446,6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2 550 950,1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2 737 805,3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109,7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103,2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инвестиций в основной капитал за счет всех источников финансирования (по полному кругу)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235 469,0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267 608,5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296 391,6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326 556,6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351 767,8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140,9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103,4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Прибыль прибыльных организаций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341 414,1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307 433,9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336 996,3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360 776,7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387 658,2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действующих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163,2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90,0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109,6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107,1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107,5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розничного товарооборота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336 125,4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369 119,5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402 690,9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435 131,7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466 120,0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112,1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103,2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Оборот общественного питания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9 286,4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13 502,0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14 744,5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15 947,6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17 249,0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136,4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136,4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104,0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платных услуг населению (по крупным и средним организациям)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121 660,4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133 900,0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148 435,2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159 617,3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171 139,8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сопоставимых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99,1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103,1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102,7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Фонд заработной платы,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442 711,5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548 971,6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625 333,7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690 993,8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748 346,3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роста в действующих ценах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115,8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124,0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108,3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Численность работников по территории, формирующих фонд оплаты труда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тыс.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571,0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571,0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571,0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571,0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571,0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Реальная заработная плата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110,2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114,8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107,7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104,1</w:t>
            </w: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Справочно: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832A05">
            <w:pPr>
              <w:jc w:val="center"/>
              <w:rPr>
                <w:color w:val="C00000"/>
                <w:sz w:val="22"/>
                <w:szCs w:val="22"/>
              </w:rPr>
            </w:pPr>
          </w:p>
        </w:tc>
      </w:tr>
      <w:tr w:rsidR="00832A05"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Сводный индекс потребительских цен в среднегодовом исчислении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108,0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105,8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2A05" w:rsidRDefault="00311484">
            <w:pPr>
              <w:jc w:val="center"/>
            </w:pPr>
            <w:r>
              <w:rPr>
                <w:rFonts w:eastAsia="Times New Roman"/>
                <w:sz w:val="22"/>
              </w:rPr>
              <w:t>104</w:t>
            </w:r>
          </w:p>
        </w:tc>
      </w:tr>
    </w:tbl>
    <w:p w:rsidR="00832A05" w:rsidRDefault="00832A05">
      <w:pPr>
        <w:jc w:val="center"/>
        <w:rPr>
          <w:color w:val="FF0000"/>
          <w:sz w:val="22"/>
          <w:szCs w:val="22"/>
        </w:rPr>
      </w:pPr>
    </w:p>
    <w:p w:rsidR="00832A05" w:rsidRDefault="00832A05">
      <w:pPr>
        <w:rPr>
          <w:color w:val="FF0000"/>
          <w:sz w:val="22"/>
          <w:szCs w:val="22"/>
          <w:highlight w:val="yellow"/>
        </w:rPr>
      </w:pPr>
    </w:p>
    <w:p w:rsidR="00832A05" w:rsidRDefault="00832A05">
      <w:pPr>
        <w:rPr>
          <w:color w:val="FF0000"/>
          <w:sz w:val="22"/>
          <w:szCs w:val="22"/>
          <w:highlight w:val="yellow"/>
        </w:rPr>
        <w:sectPr w:rsidR="00832A05">
          <w:pgSz w:w="16834" w:h="11907" w:orient="landscape"/>
          <w:pgMar w:top="1134" w:right="1134" w:bottom="851" w:left="567" w:header="289" w:footer="289" w:gutter="0"/>
          <w:cols w:space="720"/>
          <w:docGrid w:linePitch="360"/>
        </w:sectPr>
      </w:pPr>
    </w:p>
    <w:p w:rsidR="00832A05" w:rsidRDefault="00832A05">
      <w:pPr>
        <w:rPr>
          <w:color w:val="FF0000"/>
          <w:sz w:val="22"/>
          <w:szCs w:val="22"/>
          <w:highlight w:val="yellow"/>
        </w:rPr>
      </w:pPr>
    </w:p>
    <w:p w:rsidR="00832A05" w:rsidRDefault="00832A05">
      <w:pPr>
        <w:jc w:val="both"/>
        <w:rPr>
          <w:rFonts w:ascii="Calibri" w:hAnsi="Calibri"/>
          <w:color w:val="FF0000"/>
          <w:highlight w:val="yellow"/>
        </w:rPr>
      </w:pPr>
    </w:p>
    <w:p w:rsidR="00832A05" w:rsidRDefault="00311484">
      <w:pPr>
        <w:pStyle w:val="Web1Web21111Web4Web11213Web"/>
        <w:spacing w:after="0" w:line="240" w:lineRule="auto"/>
        <w:ind w:left="0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СОДЕРЖАНИЕ</w:t>
      </w:r>
    </w:p>
    <w:p w:rsidR="00832A05" w:rsidRDefault="00832A05">
      <w:pPr>
        <w:jc w:val="center"/>
        <w:rPr>
          <w:color w:val="000000" w:themeColor="text1"/>
          <w:sz w:val="28"/>
        </w:rPr>
      </w:pPr>
    </w:p>
    <w:tbl>
      <w:tblPr>
        <w:tblW w:w="10063" w:type="dxa"/>
        <w:tblLayout w:type="fixed"/>
        <w:tblLook w:val="01E0" w:firstRow="1" w:lastRow="1" w:firstColumn="1" w:lastColumn="1" w:noHBand="0" w:noVBand="0"/>
      </w:tblPr>
      <w:tblGrid>
        <w:gridCol w:w="8362"/>
        <w:gridCol w:w="1688"/>
        <w:gridCol w:w="13"/>
      </w:tblGrid>
      <w:tr w:rsidR="00832A05">
        <w:trPr>
          <w:trHeight w:val="356"/>
        </w:trPr>
        <w:tc>
          <w:tcPr>
            <w:tcW w:w="83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832A05">
            <w:pPr>
              <w:jc w:val="both"/>
              <w:rPr>
                <w:color w:val="000000" w:themeColor="text1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832A05" w:rsidRDefault="00311484">
            <w:pPr>
              <w:ind w:left="310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Стр.</w:t>
            </w:r>
          </w:p>
          <w:p w:rsidR="00832A05" w:rsidRDefault="00832A05">
            <w:pPr>
              <w:jc w:val="center"/>
              <w:rPr>
                <w:color w:val="000000" w:themeColor="text1"/>
                <w:sz w:val="28"/>
              </w:rPr>
            </w:pP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pStyle w:val="Web1Web21111Web4Web11213Web"/>
              <w:spacing w:after="0" w:line="240" w:lineRule="auto"/>
              <w:ind w:left="0" w:firstLine="604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  <w:lang w:val="ru-RU" w:eastAsia="ru-RU"/>
              </w:rPr>
              <w:t>1. Прогноз экономической деятельности предприятий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1.1. Прогноз объемов отгруженной продукции собственного производства, выполненных работ и услуг собственными силами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1.1.1. Основные тенденции развития экономики города в отчетном 2023 году и текущем 2024 году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5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1.1.2. Основные тенденции развития экономики города в 2025 - 2027 годы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8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1.2. Прогноз финансового результата 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37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1.3. Инвестиции в основной капитал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39</w:t>
            </w:r>
          </w:p>
        </w:tc>
      </w:tr>
      <w:tr w:rsidR="00832A05">
        <w:trPr>
          <w:gridAfter w:val="1"/>
          <w:wAfter w:w="11" w:type="dxa"/>
          <w:trHeight w:val="322"/>
        </w:trPr>
        <w:tc>
          <w:tcPr>
            <w:tcW w:w="836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2. </w:t>
            </w:r>
            <w:r>
              <w:rPr>
                <w:color w:val="000000" w:themeColor="text1"/>
                <w:sz w:val="28"/>
                <w:szCs w:val="28"/>
              </w:rPr>
              <w:t>Прогноз развития потребительского рынка</w:t>
            </w:r>
          </w:p>
        </w:tc>
        <w:tc>
          <w:tcPr>
            <w:tcW w:w="168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43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3. Демографические тенденции, занятость и уровень жизни населения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48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jc w:val="both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4. Основные тенденции развития социальной сферы города Нижнего Новгорода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53</w:t>
            </w:r>
          </w:p>
        </w:tc>
      </w:tr>
      <w:tr w:rsidR="00832A05">
        <w:trPr>
          <w:gridAfter w:val="1"/>
          <w:wAfter w:w="11" w:type="dxa"/>
        </w:trPr>
        <w:tc>
          <w:tcPr>
            <w:tcW w:w="83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2A05" w:rsidRDefault="00311484">
            <w:pPr>
              <w:ind w:firstLine="604"/>
              <w:rPr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Приложение</w:t>
            </w:r>
          </w:p>
        </w:tc>
        <w:tc>
          <w:tcPr>
            <w:tcW w:w="16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832A05" w:rsidRDefault="00311484">
            <w:pPr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65</w:t>
            </w:r>
          </w:p>
        </w:tc>
      </w:tr>
    </w:tbl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p w:rsidR="00832A05" w:rsidRDefault="00832A05"/>
    <w:sectPr w:rsidR="00832A05">
      <w:headerReference w:type="default" r:id="rId43"/>
      <w:pgSz w:w="11907" w:h="16834"/>
      <w:pgMar w:top="1134" w:right="851" w:bottom="567" w:left="1134" w:header="289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484" w:rsidRDefault="00311484">
      <w:r>
        <w:separator/>
      </w:r>
    </w:p>
  </w:endnote>
  <w:endnote w:type="continuationSeparator" w:id="0">
    <w:p w:rsidR="00311484" w:rsidRDefault="0031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default"/>
  </w:font>
  <w:font w:name="Segoe UI">
    <w:panose1 w:val="020B0502040204020203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Mangal">
    <w:panose1 w:val="02040503050203030202"/>
    <w:charset w:val="00"/>
    <w:family w:val="auto"/>
    <w:pitch w:val="default"/>
  </w:font>
  <w:font w:name="MS Sans Serif">
    <w:charset w:val="00"/>
    <w:family w:val="auto"/>
    <w:pitch w:val="default"/>
  </w:font>
  <w:font w:name="BalticaCTT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Microsoft Sans Serif">
    <w:panose1 w:val="020B0604020202020204"/>
    <w:charset w:val="00"/>
    <w:family w:val="auto"/>
    <w:pitch w:val="default"/>
  </w:font>
  <w:font w:name="Franklin Gothic Medium Cond">
    <w:panose1 w:val="020B06060304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484" w:rsidRDefault="00311484">
      <w:r>
        <w:separator/>
      </w:r>
    </w:p>
  </w:footnote>
  <w:footnote w:type="continuationSeparator" w:id="0">
    <w:p w:rsidR="00311484" w:rsidRDefault="0031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A05" w:rsidRDefault="00311484">
    <w:pPr>
      <w:pStyle w:val="afd"/>
      <w:jc w:val="center"/>
    </w:pPr>
    <w:r>
      <w:fldChar w:fldCharType="begin"/>
    </w:r>
    <w:r>
      <w:instrText>PAGE \* MERGEFORMAT</w:instrText>
    </w:r>
    <w:r>
      <w:fldChar w:fldCharType="separate"/>
    </w:r>
    <w:r w:rsidR="00E4547B">
      <w:rPr>
        <w:noProof/>
      </w:rPr>
      <w:t>46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A05" w:rsidRDefault="00311484">
    <w:pPr>
      <w:pStyle w:val="afd"/>
      <w:jc w:val="center"/>
    </w:pPr>
    <w:r>
      <w:fldChar w:fldCharType="begin"/>
    </w:r>
    <w:r>
      <w:instrText>PAGE \* MERGEFORMAT</w:instrText>
    </w:r>
    <w:r>
      <w:fldChar w:fldCharType="separate"/>
    </w:r>
    <w:r w:rsidR="00E4547B">
      <w:rPr>
        <w:noProof/>
      </w:rPr>
      <w:t>64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BEF"/>
    <w:multiLevelType w:val="hybridMultilevel"/>
    <w:tmpl w:val="0340F604"/>
    <w:lvl w:ilvl="0" w:tplc="BED443D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 w:tplc="FDAC6AF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 w:tplc="4A5CFD3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 w:tplc="C07E5BD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 w:tplc="EDE03B8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 w:tplc="1F7AECE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 w:tplc="F7BC866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 w:tplc="0A88738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 w:tplc="EBC235A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 w15:restartNumberingAfterBreak="0">
    <w:nsid w:val="0602310C"/>
    <w:multiLevelType w:val="hybridMultilevel"/>
    <w:tmpl w:val="CA386F66"/>
    <w:lvl w:ilvl="0" w:tplc="189A3A48">
      <w:start w:val="1"/>
      <w:numFmt w:val="decimal"/>
      <w:lvlText w:val="%1."/>
      <w:lvlJc w:val="left"/>
      <w:pPr>
        <w:ind w:left="1418" w:hanging="360"/>
      </w:pPr>
    </w:lvl>
    <w:lvl w:ilvl="1" w:tplc="45E4974A">
      <w:start w:val="1"/>
      <w:numFmt w:val="lowerLetter"/>
      <w:lvlText w:val="%2."/>
      <w:lvlJc w:val="left"/>
      <w:pPr>
        <w:ind w:left="2138" w:hanging="360"/>
      </w:pPr>
    </w:lvl>
    <w:lvl w:ilvl="2" w:tplc="781AE1A4">
      <w:start w:val="1"/>
      <w:numFmt w:val="lowerRoman"/>
      <w:lvlText w:val="%3."/>
      <w:lvlJc w:val="right"/>
      <w:pPr>
        <w:ind w:left="2858" w:hanging="180"/>
      </w:pPr>
    </w:lvl>
    <w:lvl w:ilvl="3" w:tplc="02E0B6EA">
      <w:start w:val="1"/>
      <w:numFmt w:val="decimal"/>
      <w:lvlText w:val="%4."/>
      <w:lvlJc w:val="left"/>
      <w:pPr>
        <w:ind w:left="3578" w:hanging="360"/>
      </w:pPr>
    </w:lvl>
    <w:lvl w:ilvl="4" w:tplc="BC6CF1D4">
      <w:start w:val="1"/>
      <w:numFmt w:val="lowerLetter"/>
      <w:lvlText w:val="%5."/>
      <w:lvlJc w:val="left"/>
      <w:pPr>
        <w:ind w:left="4298" w:hanging="360"/>
      </w:pPr>
    </w:lvl>
    <w:lvl w:ilvl="5" w:tplc="DD20A968">
      <w:start w:val="1"/>
      <w:numFmt w:val="lowerRoman"/>
      <w:lvlText w:val="%6."/>
      <w:lvlJc w:val="right"/>
      <w:pPr>
        <w:ind w:left="5018" w:hanging="180"/>
      </w:pPr>
    </w:lvl>
    <w:lvl w:ilvl="6" w:tplc="64E8B65E">
      <w:start w:val="1"/>
      <w:numFmt w:val="decimal"/>
      <w:lvlText w:val="%7."/>
      <w:lvlJc w:val="left"/>
      <w:pPr>
        <w:ind w:left="5738" w:hanging="360"/>
      </w:pPr>
    </w:lvl>
    <w:lvl w:ilvl="7" w:tplc="E6969A20">
      <w:start w:val="1"/>
      <w:numFmt w:val="lowerLetter"/>
      <w:lvlText w:val="%8."/>
      <w:lvlJc w:val="left"/>
      <w:pPr>
        <w:ind w:left="6458" w:hanging="360"/>
      </w:pPr>
    </w:lvl>
    <w:lvl w:ilvl="8" w:tplc="340AC26E">
      <w:start w:val="1"/>
      <w:numFmt w:val="lowerRoman"/>
      <w:lvlText w:val="%9."/>
      <w:lvlJc w:val="right"/>
      <w:pPr>
        <w:ind w:left="7178" w:hanging="180"/>
      </w:pPr>
    </w:lvl>
  </w:abstractNum>
  <w:abstractNum w:abstractNumId="2" w15:restartNumberingAfterBreak="0">
    <w:nsid w:val="0FAE479D"/>
    <w:multiLevelType w:val="hybridMultilevel"/>
    <w:tmpl w:val="177C58E6"/>
    <w:lvl w:ilvl="0" w:tplc="DE08712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 w:tplc="6E807BD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 w:tplc="E79C033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 w:tplc="95D6BC0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 w:tplc="8E3890E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 w:tplc="6E92558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 w:tplc="02A6DF1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 w:tplc="3376829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 w:tplc="201C134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3" w15:restartNumberingAfterBreak="0">
    <w:nsid w:val="37765F04"/>
    <w:multiLevelType w:val="hybridMultilevel"/>
    <w:tmpl w:val="F45855EA"/>
    <w:lvl w:ilvl="0" w:tplc="5F50FBE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 w:tplc="4F980A9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 w:tplc="315E4F1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 w:tplc="C394A11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 w:tplc="CA68705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 w:tplc="BE1E1DF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 w:tplc="EA5A0E8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 w:tplc="A94066F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 w:tplc="88E8C77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4" w15:restartNumberingAfterBreak="0">
    <w:nsid w:val="3A465200"/>
    <w:multiLevelType w:val="hybridMultilevel"/>
    <w:tmpl w:val="2A7C1A94"/>
    <w:lvl w:ilvl="0" w:tplc="F8E28958">
      <w:start w:val="1"/>
      <w:numFmt w:val="decimal"/>
      <w:lvlText w:val="%1."/>
      <w:lvlJc w:val="left"/>
      <w:pPr>
        <w:ind w:left="1418" w:hanging="360"/>
      </w:pPr>
    </w:lvl>
    <w:lvl w:ilvl="1" w:tplc="7FF65DCA">
      <w:start w:val="1"/>
      <w:numFmt w:val="lowerLetter"/>
      <w:lvlText w:val="%2."/>
      <w:lvlJc w:val="left"/>
      <w:pPr>
        <w:ind w:left="2138" w:hanging="360"/>
      </w:pPr>
    </w:lvl>
    <w:lvl w:ilvl="2" w:tplc="960AA468">
      <w:start w:val="1"/>
      <w:numFmt w:val="lowerRoman"/>
      <w:lvlText w:val="%3."/>
      <w:lvlJc w:val="right"/>
      <w:pPr>
        <w:ind w:left="2858" w:hanging="180"/>
      </w:pPr>
    </w:lvl>
    <w:lvl w:ilvl="3" w:tplc="B91AD124">
      <w:start w:val="1"/>
      <w:numFmt w:val="decimal"/>
      <w:lvlText w:val="%4."/>
      <w:lvlJc w:val="left"/>
      <w:pPr>
        <w:ind w:left="3578" w:hanging="360"/>
      </w:pPr>
    </w:lvl>
    <w:lvl w:ilvl="4" w:tplc="F0022760">
      <w:start w:val="1"/>
      <w:numFmt w:val="lowerLetter"/>
      <w:lvlText w:val="%5."/>
      <w:lvlJc w:val="left"/>
      <w:pPr>
        <w:ind w:left="4298" w:hanging="360"/>
      </w:pPr>
    </w:lvl>
    <w:lvl w:ilvl="5" w:tplc="FE8618C4">
      <w:start w:val="1"/>
      <w:numFmt w:val="lowerRoman"/>
      <w:lvlText w:val="%6."/>
      <w:lvlJc w:val="right"/>
      <w:pPr>
        <w:ind w:left="5018" w:hanging="180"/>
      </w:pPr>
    </w:lvl>
    <w:lvl w:ilvl="6" w:tplc="95CAE414">
      <w:start w:val="1"/>
      <w:numFmt w:val="decimal"/>
      <w:lvlText w:val="%7."/>
      <w:lvlJc w:val="left"/>
      <w:pPr>
        <w:ind w:left="5738" w:hanging="360"/>
      </w:pPr>
    </w:lvl>
    <w:lvl w:ilvl="7" w:tplc="8D240DE8">
      <w:start w:val="1"/>
      <w:numFmt w:val="lowerLetter"/>
      <w:lvlText w:val="%8."/>
      <w:lvlJc w:val="left"/>
      <w:pPr>
        <w:ind w:left="6458" w:hanging="360"/>
      </w:pPr>
    </w:lvl>
    <w:lvl w:ilvl="8" w:tplc="C2D63F54">
      <w:start w:val="1"/>
      <w:numFmt w:val="lowerRoman"/>
      <w:lvlText w:val="%9."/>
      <w:lvlJc w:val="right"/>
      <w:pPr>
        <w:ind w:left="7178" w:hanging="180"/>
      </w:pPr>
    </w:lvl>
  </w:abstractNum>
  <w:abstractNum w:abstractNumId="5" w15:restartNumberingAfterBreak="0">
    <w:nsid w:val="3DEB0E86"/>
    <w:multiLevelType w:val="hybridMultilevel"/>
    <w:tmpl w:val="B9CE8978"/>
    <w:lvl w:ilvl="0" w:tplc="49803C8A">
      <w:start w:val="1"/>
      <w:numFmt w:val="decimal"/>
      <w:lvlText w:val="%1."/>
      <w:lvlJc w:val="left"/>
      <w:pPr>
        <w:ind w:left="1440" w:hanging="360"/>
      </w:pPr>
      <w:rPr>
        <w:sz w:val="28"/>
      </w:rPr>
    </w:lvl>
    <w:lvl w:ilvl="1" w:tplc="0A34B9D2">
      <w:start w:val="1"/>
      <w:numFmt w:val="lowerLetter"/>
      <w:lvlText w:val="%2."/>
      <w:lvlJc w:val="left"/>
      <w:pPr>
        <w:ind w:left="2160" w:hanging="360"/>
      </w:pPr>
    </w:lvl>
    <w:lvl w:ilvl="2" w:tplc="5950E646">
      <w:start w:val="1"/>
      <w:numFmt w:val="lowerRoman"/>
      <w:lvlText w:val="%3."/>
      <w:lvlJc w:val="right"/>
      <w:pPr>
        <w:ind w:left="2880" w:hanging="180"/>
      </w:pPr>
    </w:lvl>
    <w:lvl w:ilvl="3" w:tplc="93CEB91C">
      <w:start w:val="1"/>
      <w:numFmt w:val="decimal"/>
      <w:lvlText w:val="%4."/>
      <w:lvlJc w:val="left"/>
      <w:pPr>
        <w:ind w:left="3600" w:hanging="360"/>
      </w:pPr>
    </w:lvl>
    <w:lvl w:ilvl="4" w:tplc="FF7CFCD8">
      <w:start w:val="1"/>
      <w:numFmt w:val="lowerLetter"/>
      <w:lvlText w:val="%5."/>
      <w:lvlJc w:val="left"/>
      <w:pPr>
        <w:ind w:left="4320" w:hanging="360"/>
      </w:pPr>
    </w:lvl>
    <w:lvl w:ilvl="5" w:tplc="96C231FA">
      <w:start w:val="1"/>
      <w:numFmt w:val="lowerRoman"/>
      <w:lvlText w:val="%6."/>
      <w:lvlJc w:val="right"/>
      <w:pPr>
        <w:ind w:left="5040" w:hanging="180"/>
      </w:pPr>
    </w:lvl>
    <w:lvl w:ilvl="6" w:tplc="A72E1936">
      <w:start w:val="1"/>
      <w:numFmt w:val="decimal"/>
      <w:lvlText w:val="%7."/>
      <w:lvlJc w:val="left"/>
      <w:pPr>
        <w:ind w:left="5760" w:hanging="360"/>
      </w:pPr>
    </w:lvl>
    <w:lvl w:ilvl="7" w:tplc="8300377A">
      <w:start w:val="1"/>
      <w:numFmt w:val="lowerLetter"/>
      <w:lvlText w:val="%8."/>
      <w:lvlJc w:val="left"/>
      <w:pPr>
        <w:ind w:left="6480" w:hanging="360"/>
      </w:pPr>
    </w:lvl>
    <w:lvl w:ilvl="8" w:tplc="A240E41E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22F3CF4"/>
    <w:multiLevelType w:val="hybridMultilevel"/>
    <w:tmpl w:val="26109CB8"/>
    <w:lvl w:ilvl="0" w:tplc="E660B030">
      <w:start w:val="1"/>
      <w:numFmt w:val="decimal"/>
      <w:lvlText w:val="%1."/>
      <w:lvlJc w:val="left"/>
      <w:pPr>
        <w:ind w:left="1417" w:hanging="360"/>
      </w:pPr>
    </w:lvl>
    <w:lvl w:ilvl="1" w:tplc="94ECB408">
      <w:start w:val="1"/>
      <w:numFmt w:val="lowerLetter"/>
      <w:lvlText w:val="%2."/>
      <w:lvlJc w:val="left"/>
      <w:pPr>
        <w:ind w:left="2137" w:hanging="360"/>
      </w:pPr>
    </w:lvl>
    <w:lvl w:ilvl="2" w:tplc="11902F06">
      <w:start w:val="1"/>
      <w:numFmt w:val="lowerRoman"/>
      <w:lvlText w:val="%3."/>
      <w:lvlJc w:val="right"/>
      <w:pPr>
        <w:ind w:left="2857" w:hanging="180"/>
      </w:pPr>
    </w:lvl>
    <w:lvl w:ilvl="3" w:tplc="7C38FC8C">
      <w:start w:val="1"/>
      <w:numFmt w:val="decimal"/>
      <w:lvlText w:val="%4."/>
      <w:lvlJc w:val="left"/>
      <w:pPr>
        <w:ind w:left="3577" w:hanging="360"/>
      </w:pPr>
    </w:lvl>
    <w:lvl w:ilvl="4" w:tplc="0F5C8116">
      <w:start w:val="1"/>
      <w:numFmt w:val="lowerLetter"/>
      <w:lvlText w:val="%5."/>
      <w:lvlJc w:val="left"/>
      <w:pPr>
        <w:ind w:left="4297" w:hanging="360"/>
      </w:pPr>
    </w:lvl>
    <w:lvl w:ilvl="5" w:tplc="A8F66408">
      <w:start w:val="1"/>
      <w:numFmt w:val="lowerRoman"/>
      <w:lvlText w:val="%6."/>
      <w:lvlJc w:val="right"/>
      <w:pPr>
        <w:ind w:left="5017" w:hanging="180"/>
      </w:pPr>
    </w:lvl>
    <w:lvl w:ilvl="6" w:tplc="E8B63DD4">
      <w:start w:val="1"/>
      <w:numFmt w:val="decimal"/>
      <w:lvlText w:val="%7."/>
      <w:lvlJc w:val="left"/>
      <w:pPr>
        <w:ind w:left="5737" w:hanging="360"/>
      </w:pPr>
    </w:lvl>
    <w:lvl w:ilvl="7" w:tplc="39EEE486">
      <w:start w:val="1"/>
      <w:numFmt w:val="lowerLetter"/>
      <w:lvlText w:val="%8."/>
      <w:lvlJc w:val="left"/>
      <w:pPr>
        <w:ind w:left="6457" w:hanging="360"/>
      </w:pPr>
    </w:lvl>
    <w:lvl w:ilvl="8" w:tplc="73C00B1A">
      <w:start w:val="1"/>
      <w:numFmt w:val="lowerRoman"/>
      <w:lvlText w:val="%9."/>
      <w:lvlJc w:val="right"/>
      <w:pPr>
        <w:ind w:left="7177" w:hanging="180"/>
      </w:pPr>
    </w:lvl>
  </w:abstractNum>
  <w:abstractNum w:abstractNumId="7" w15:restartNumberingAfterBreak="0">
    <w:nsid w:val="44942F2D"/>
    <w:multiLevelType w:val="hybridMultilevel"/>
    <w:tmpl w:val="161A32A4"/>
    <w:lvl w:ilvl="0" w:tplc="39BAF230">
      <w:start w:val="5"/>
      <w:numFmt w:val="decimal"/>
      <w:lvlText w:val="%1."/>
      <w:lvlJc w:val="left"/>
      <w:pPr>
        <w:ind w:left="1440" w:hanging="360"/>
      </w:pPr>
    </w:lvl>
    <w:lvl w:ilvl="1" w:tplc="9A680BB2">
      <w:start w:val="1"/>
      <w:numFmt w:val="lowerLetter"/>
      <w:lvlText w:val="%2."/>
      <w:lvlJc w:val="left"/>
      <w:pPr>
        <w:ind w:left="2160" w:hanging="360"/>
      </w:pPr>
    </w:lvl>
    <w:lvl w:ilvl="2" w:tplc="1BA4A3FE">
      <w:start w:val="1"/>
      <w:numFmt w:val="lowerRoman"/>
      <w:lvlText w:val="%3."/>
      <w:lvlJc w:val="right"/>
      <w:pPr>
        <w:ind w:left="2880" w:hanging="180"/>
      </w:pPr>
    </w:lvl>
    <w:lvl w:ilvl="3" w:tplc="F50C5DF2">
      <w:start w:val="1"/>
      <w:numFmt w:val="decimal"/>
      <w:lvlText w:val="%4."/>
      <w:lvlJc w:val="left"/>
      <w:pPr>
        <w:ind w:left="3600" w:hanging="360"/>
      </w:pPr>
    </w:lvl>
    <w:lvl w:ilvl="4" w:tplc="8886F1D0">
      <w:start w:val="1"/>
      <w:numFmt w:val="lowerLetter"/>
      <w:lvlText w:val="%5."/>
      <w:lvlJc w:val="left"/>
      <w:pPr>
        <w:ind w:left="4320" w:hanging="360"/>
      </w:pPr>
    </w:lvl>
    <w:lvl w:ilvl="5" w:tplc="760875FE">
      <w:start w:val="1"/>
      <w:numFmt w:val="lowerRoman"/>
      <w:lvlText w:val="%6."/>
      <w:lvlJc w:val="right"/>
      <w:pPr>
        <w:ind w:left="5040" w:hanging="180"/>
      </w:pPr>
    </w:lvl>
    <w:lvl w:ilvl="6" w:tplc="FFC82E70">
      <w:start w:val="1"/>
      <w:numFmt w:val="decimal"/>
      <w:lvlText w:val="%7."/>
      <w:lvlJc w:val="left"/>
      <w:pPr>
        <w:ind w:left="5760" w:hanging="360"/>
      </w:pPr>
    </w:lvl>
    <w:lvl w:ilvl="7" w:tplc="D898C7CC">
      <w:start w:val="1"/>
      <w:numFmt w:val="lowerLetter"/>
      <w:lvlText w:val="%8."/>
      <w:lvlJc w:val="left"/>
      <w:pPr>
        <w:ind w:left="6480" w:hanging="360"/>
      </w:pPr>
    </w:lvl>
    <w:lvl w:ilvl="8" w:tplc="9B103F3E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80B1A13"/>
    <w:multiLevelType w:val="multilevel"/>
    <w:tmpl w:val="FA482B1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229" w:hanging="1515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2234" w:hanging="151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239" w:hanging="151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44" w:hanging="151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249" w:hanging="151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539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544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909" w:hanging="2160"/>
      </w:pPr>
      <w:rPr>
        <w:rFonts w:cs="Times New Roman"/>
      </w:rPr>
    </w:lvl>
  </w:abstractNum>
  <w:abstractNum w:abstractNumId="9" w15:restartNumberingAfterBreak="0">
    <w:nsid w:val="4CE83416"/>
    <w:multiLevelType w:val="hybridMultilevel"/>
    <w:tmpl w:val="CD6AFBA4"/>
    <w:lvl w:ilvl="0" w:tplc="6088B646">
      <w:start w:val="1"/>
      <w:numFmt w:val="decimal"/>
      <w:lvlText w:val="%1."/>
      <w:lvlJc w:val="left"/>
      <w:pPr>
        <w:ind w:left="1418" w:hanging="360"/>
      </w:pPr>
    </w:lvl>
    <w:lvl w:ilvl="1" w:tplc="181EB066">
      <w:start w:val="1"/>
      <w:numFmt w:val="lowerLetter"/>
      <w:lvlText w:val="%2."/>
      <w:lvlJc w:val="left"/>
      <w:pPr>
        <w:ind w:left="2138" w:hanging="360"/>
      </w:pPr>
    </w:lvl>
    <w:lvl w:ilvl="2" w:tplc="B0AAFE06">
      <w:start w:val="1"/>
      <w:numFmt w:val="lowerRoman"/>
      <w:lvlText w:val="%3."/>
      <w:lvlJc w:val="right"/>
      <w:pPr>
        <w:ind w:left="2858" w:hanging="180"/>
      </w:pPr>
    </w:lvl>
    <w:lvl w:ilvl="3" w:tplc="F3F0072C">
      <w:start w:val="1"/>
      <w:numFmt w:val="decimal"/>
      <w:lvlText w:val="%4."/>
      <w:lvlJc w:val="left"/>
      <w:pPr>
        <w:ind w:left="3578" w:hanging="360"/>
      </w:pPr>
    </w:lvl>
    <w:lvl w:ilvl="4" w:tplc="7DB8733C">
      <w:start w:val="1"/>
      <w:numFmt w:val="lowerLetter"/>
      <w:lvlText w:val="%5."/>
      <w:lvlJc w:val="left"/>
      <w:pPr>
        <w:ind w:left="4298" w:hanging="360"/>
      </w:pPr>
    </w:lvl>
    <w:lvl w:ilvl="5" w:tplc="43F0A6F4">
      <w:start w:val="1"/>
      <w:numFmt w:val="lowerRoman"/>
      <w:lvlText w:val="%6."/>
      <w:lvlJc w:val="right"/>
      <w:pPr>
        <w:ind w:left="5018" w:hanging="180"/>
      </w:pPr>
    </w:lvl>
    <w:lvl w:ilvl="6" w:tplc="74DA3224">
      <w:start w:val="1"/>
      <w:numFmt w:val="decimal"/>
      <w:lvlText w:val="%7."/>
      <w:lvlJc w:val="left"/>
      <w:pPr>
        <w:ind w:left="5738" w:hanging="360"/>
      </w:pPr>
    </w:lvl>
    <w:lvl w:ilvl="7" w:tplc="0AF6FEB8">
      <w:start w:val="1"/>
      <w:numFmt w:val="lowerLetter"/>
      <w:lvlText w:val="%8."/>
      <w:lvlJc w:val="left"/>
      <w:pPr>
        <w:ind w:left="6458" w:hanging="360"/>
      </w:pPr>
    </w:lvl>
    <w:lvl w:ilvl="8" w:tplc="8B98B5FC">
      <w:start w:val="1"/>
      <w:numFmt w:val="lowerRoman"/>
      <w:lvlText w:val="%9."/>
      <w:lvlJc w:val="right"/>
      <w:pPr>
        <w:ind w:left="7178" w:hanging="180"/>
      </w:pPr>
    </w:lvl>
  </w:abstractNum>
  <w:abstractNum w:abstractNumId="10" w15:restartNumberingAfterBreak="0">
    <w:nsid w:val="54ED3DD2"/>
    <w:multiLevelType w:val="multilevel"/>
    <w:tmpl w:val="E5BCE988"/>
    <w:lvl w:ilvl="0">
      <w:start w:val="1"/>
      <w:numFmt w:val="decimal"/>
      <w:lvlText w:val="%1."/>
      <w:lvlJc w:val="left"/>
      <w:pPr>
        <w:ind w:left="1425" w:hanging="1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779" w:hanging="142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3" w:hanging="1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87" w:hanging="142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41" w:hanging="142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/>
      </w:rPr>
    </w:lvl>
  </w:abstractNum>
  <w:abstractNum w:abstractNumId="11" w15:restartNumberingAfterBreak="0">
    <w:nsid w:val="5D681D5E"/>
    <w:multiLevelType w:val="hybridMultilevel"/>
    <w:tmpl w:val="93FE0F02"/>
    <w:lvl w:ilvl="0" w:tplc="384C333C">
      <w:start w:val="1"/>
      <w:numFmt w:val="bullet"/>
      <w:pStyle w:val="a"/>
      <w:lvlText w:val=""/>
      <w:lvlJc w:val="left"/>
      <w:pPr>
        <w:tabs>
          <w:tab w:val="num" w:pos="424"/>
        </w:tabs>
        <w:ind w:left="991" w:hanging="283"/>
      </w:pPr>
      <w:rPr>
        <w:rFonts w:ascii="Symbol" w:hAnsi="Symbol"/>
      </w:rPr>
    </w:lvl>
    <w:lvl w:ilvl="1" w:tplc="E0EC470C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cs="Times New Roman"/>
      </w:rPr>
    </w:lvl>
    <w:lvl w:ilvl="2" w:tplc="2944965A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/>
      </w:rPr>
    </w:lvl>
    <w:lvl w:ilvl="3" w:tplc="91D4FD18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/>
      </w:rPr>
    </w:lvl>
    <w:lvl w:ilvl="4" w:tplc="0B647AD4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cs="Times New Roman"/>
      </w:rPr>
    </w:lvl>
    <w:lvl w:ilvl="5" w:tplc="9912B1AA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/>
      </w:rPr>
    </w:lvl>
    <w:lvl w:ilvl="6" w:tplc="6B68F58A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/>
      </w:rPr>
    </w:lvl>
    <w:lvl w:ilvl="7" w:tplc="30020B58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cs="Times New Roman"/>
      </w:rPr>
    </w:lvl>
    <w:lvl w:ilvl="8" w:tplc="7352765E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/>
      </w:rPr>
    </w:lvl>
  </w:abstractNum>
  <w:abstractNum w:abstractNumId="12" w15:restartNumberingAfterBreak="0">
    <w:nsid w:val="6C7E6FF0"/>
    <w:multiLevelType w:val="hybridMultilevel"/>
    <w:tmpl w:val="3C504112"/>
    <w:lvl w:ilvl="0" w:tplc="B7B6698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 w:tplc="83EA476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 w:tplc="5BC055E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 w:tplc="709803D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 w:tplc="788051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 w:tplc="32D6B8F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 w:tplc="990605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 w:tplc="B3CE9B5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 w:tplc="FD404A8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3" w15:restartNumberingAfterBreak="0">
    <w:nsid w:val="6D842170"/>
    <w:multiLevelType w:val="hybridMultilevel"/>
    <w:tmpl w:val="EFC2AA2C"/>
    <w:lvl w:ilvl="0" w:tplc="0B82DE00">
      <w:start w:val="1"/>
      <w:numFmt w:val="decimal"/>
      <w:lvlText w:val="%1."/>
      <w:lvlJc w:val="left"/>
      <w:pPr>
        <w:ind w:left="720" w:hanging="360"/>
      </w:pPr>
    </w:lvl>
    <w:lvl w:ilvl="1" w:tplc="671028EA">
      <w:start w:val="1"/>
      <w:numFmt w:val="lowerLetter"/>
      <w:lvlText w:val="%2."/>
      <w:lvlJc w:val="left"/>
      <w:pPr>
        <w:ind w:left="1440" w:hanging="360"/>
      </w:pPr>
    </w:lvl>
    <w:lvl w:ilvl="2" w:tplc="0DFCD29E">
      <w:start w:val="1"/>
      <w:numFmt w:val="lowerRoman"/>
      <w:lvlText w:val="%3."/>
      <w:lvlJc w:val="right"/>
      <w:pPr>
        <w:ind w:left="2160" w:hanging="180"/>
      </w:pPr>
    </w:lvl>
    <w:lvl w:ilvl="3" w:tplc="9D60E122">
      <w:start w:val="1"/>
      <w:numFmt w:val="decimal"/>
      <w:lvlText w:val="%4."/>
      <w:lvlJc w:val="left"/>
      <w:pPr>
        <w:ind w:left="2880" w:hanging="360"/>
      </w:pPr>
    </w:lvl>
    <w:lvl w:ilvl="4" w:tplc="5D169DF8">
      <w:start w:val="1"/>
      <w:numFmt w:val="lowerLetter"/>
      <w:lvlText w:val="%5."/>
      <w:lvlJc w:val="left"/>
      <w:pPr>
        <w:ind w:left="3600" w:hanging="360"/>
      </w:pPr>
    </w:lvl>
    <w:lvl w:ilvl="5" w:tplc="9EC69884">
      <w:start w:val="1"/>
      <w:numFmt w:val="lowerRoman"/>
      <w:lvlText w:val="%6."/>
      <w:lvlJc w:val="right"/>
      <w:pPr>
        <w:ind w:left="4320" w:hanging="180"/>
      </w:pPr>
    </w:lvl>
    <w:lvl w:ilvl="6" w:tplc="AD10E698">
      <w:start w:val="1"/>
      <w:numFmt w:val="decimal"/>
      <w:lvlText w:val="%7."/>
      <w:lvlJc w:val="left"/>
      <w:pPr>
        <w:ind w:left="5040" w:hanging="360"/>
      </w:pPr>
    </w:lvl>
    <w:lvl w:ilvl="7" w:tplc="F26842BA">
      <w:start w:val="1"/>
      <w:numFmt w:val="lowerLetter"/>
      <w:lvlText w:val="%8."/>
      <w:lvlJc w:val="left"/>
      <w:pPr>
        <w:ind w:left="5760" w:hanging="360"/>
      </w:pPr>
    </w:lvl>
    <w:lvl w:ilvl="8" w:tplc="6122B4A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C18FC"/>
    <w:multiLevelType w:val="multilevel"/>
    <w:tmpl w:val="A5D8C0AC"/>
    <w:lvl w:ilvl="0">
      <w:start w:val="1"/>
      <w:numFmt w:val="decimal"/>
      <w:lvlText w:val="%1."/>
      <w:lvlJc w:val="left"/>
      <w:pPr>
        <w:ind w:left="1425" w:hanging="1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779" w:hanging="142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3" w:hanging="1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87" w:hanging="142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41" w:hanging="142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4"/>
  </w:num>
  <w:num w:numId="12">
    <w:abstractNumId w:val="6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05"/>
    <w:rsid w:val="00311484"/>
    <w:rsid w:val="00832A05"/>
    <w:rsid w:val="00E4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F064E"/>
  <w15:docId w15:val="{DD0D5A1A-3CE1-48A0-A7BD-E93C084C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eastAsia="Calibri"/>
      <w:color w:val="000000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pPr>
      <w:keepNext/>
      <w:ind w:firstLine="426"/>
      <w:jc w:val="both"/>
      <w:outlineLvl w:val="0"/>
    </w:pPr>
    <w:rPr>
      <w:rFonts w:eastAsia="Times New Roman"/>
      <w:sz w:val="28"/>
      <w:szCs w:val="20"/>
      <w:lang w:val="en-US" w:eastAsia="en-US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0"/>
    <w:next w:val="a0"/>
    <w:link w:val="30"/>
    <w:uiPriority w:val="99"/>
    <w:qFormat/>
    <w:pPr>
      <w:keepNext/>
      <w:jc w:val="both"/>
      <w:outlineLvl w:val="2"/>
    </w:pPr>
    <w:rPr>
      <w:rFonts w:eastAsia="Times New Roman"/>
      <w:sz w:val="28"/>
      <w:szCs w:val="20"/>
      <w:lang w:val="en-US" w:eastAsia="en-US"/>
    </w:rPr>
  </w:style>
  <w:style w:type="paragraph" w:styleId="4">
    <w:name w:val="heading 4"/>
    <w:basedOn w:val="a0"/>
    <w:next w:val="a0"/>
    <w:link w:val="40"/>
    <w:uiPriority w:val="99"/>
    <w:qFormat/>
    <w:pPr>
      <w:keepNext/>
      <w:ind w:firstLine="851"/>
      <w:outlineLvl w:val="3"/>
    </w:pPr>
    <w:rPr>
      <w:rFonts w:eastAsia="Times New Roman"/>
      <w:sz w:val="28"/>
      <w:szCs w:val="20"/>
      <w:lang w:val="en-US" w:eastAsia="en-US"/>
    </w:rPr>
  </w:style>
  <w:style w:type="paragraph" w:styleId="5">
    <w:name w:val="heading 5"/>
    <w:basedOn w:val="a0"/>
    <w:next w:val="a0"/>
    <w:link w:val="50"/>
    <w:uiPriority w:val="99"/>
    <w:qFormat/>
    <w:pPr>
      <w:keepNext/>
      <w:outlineLvl w:val="4"/>
    </w:pPr>
    <w:rPr>
      <w:rFonts w:eastAsia="Times New Roman"/>
      <w:szCs w:val="20"/>
      <w:lang w:val="en-US" w:eastAsia="en-US"/>
    </w:rPr>
  </w:style>
  <w:style w:type="paragraph" w:styleId="6">
    <w:name w:val="heading 6"/>
    <w:basedOn w:val="a0"/>
    <w:next w:val="a0"/>
    <w:link w:val="60"/>
    <w:uiPriority w:val="99"/>
    <w:qFormat/>
    <w:pPr>
      <w:keepNext/>
      <w:jc w:val="center"/>
      <w:outlineLvl w:val="5"/>
    </w:pPr>
    <w:rPr>
      <w:rFonts w:eastAsia="Times New Roman"/>
      <w:b/>
      <w:sz w:val="44"/>
      <w:szCs w:val="20"/>
      <w:lang w:val="en-US" w:eastAsia="en-US"/>
    </w:rPr>
  </w:style>
  <w:style w:type="paragraph" w:styleId="7">
    <w:name w:val="heading 7"/>
    <w:basedOn w:val="a0"/>
    <w:next w:val="a0"/>
    <w:link w:val="70"/>
    <w:uiPriority w:val="99"/>
    <w:unhideWhenUsed/>
    <w:qFormat/>
    <w:pPr>
      <w:keepNext/>
      <w:keepLines/>
      <w:spacing w:before="40"/>
      <w:outlineLvl w:val="6"/>
    </w:pPr>
    <w:rPr>
      <w:rFonts w:ascii="Cambria" w:eastAsia="Times New Roman" w:hAnsi="Cambria"/>
      <w:i/>
      <w:iCs/>
      <w:color w:val="243F60"/>
      <w:sz w:val="20"/>
      <w:szCs w:val="20"/>
      <w:lang w:val="en-US" w:eastAsia="en-US"/>
    </w:rPr>
  </w:style>
  <w:style w:type="paragraph" w:styleId="8">
    <w:name w:val="heading 8"/>
    <w:basedOn w:val="a0"/>
    <w:next w:val="a0"/>
    <w:link w:val="80"/>
    <w:uiPriority w:val="99"/>
    <w:unhideWhenUsed/>
    <w:qFormat/>
    <w:pPr>
      <w:keepNext/>
      <w:keepLines/>
      <w:spacing w:before="40"/>
      <w:outlineLvl w:val="7"/>
    </w:pPr>
    <w:rPr>
      <w:rFonts w:ascii="Cambria" w:eastAsia="Times New Roman" w:hAnsi="Cambria"/>
      <w:color w:val="272727"/>
      <w:sz w:val="21"/>
      <w:szCs w:val="21"/>
      <w:lang w:val="en-US" w:eastAsia="en-US"/>
    </w:rPr>
  </w:style>
  <w:style w:type="paragraph" w:styleId="9">
    <w:name w:val="heading 9"/>
    <w:basedOn w:val="a0"/>
    <w:next w:val="a0"/>
    <w:link w:val="90"/>
    <w:uiPriority w:val="99"/>
    <w:unhideWhenUsed/>
    <w:qFormat/>
    <w:pPr>
      <w:keepNext/>
      <w:keepLines/>
      <w:spacing w:before="40"/>
      <w:outlineLvl w:val="8"/>
    </w:pPr>
    <w:rPr>
      <w:rFonts w:ascii="Cambria" w:eastAsia="Times New Roman" w:hAnsi="Cambria"/>
      <w:i/>
      <w:iCs/>
      <w:color w:val="272727"/>
      <w:sz w:val="21"/>
      <w:szCs w:val="21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11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110">
    <w:name w:val="Заголовок 11"/>
    <w:basedOn w:val="a0"/>
    <w:next w:val="a0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0"/>
    <w:next w:val="a0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Pr>
      <w:rFonts w:ascii="Arial" w:eastAsia="Arial" w:hAnsi="Arial" w:cs="Arial"/>
      <w:sz w:val="34"/>
    </w:rPr>
  </w:style>
  <w:style w:type="paragraph" w:customStyle="1" w:styleId="310">
    <w:name w:val="Заголовок 31"/>
    <w:basedOn w:val="a0"/>
    <w:next w:val="a0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0">
    <w:name w:val="Заголовок 41"/>
    <w:basedOn w:val="a0"/>
    <w:next w:val="a0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0">
    <w:name w:val="Заголовок 51"/>
    <w:basedOn w:val="a0"/>
    <w:next w:val="a0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customStyle="1" w:styleId="61">
    <w:name w:val="Заголовок 61"/>
    <w:basedOn w:val="a0"/>
    <w:next w:val="a0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0"/>
    <w:next w:val="a0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0"/>
    <w:next w:val="a0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0"/>
    <w:next w:val="a0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link w:val="a5"/>
    <w:uiPriority w:val="34"/>
    <w:qFormat/>
    <w:pPr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paragraph" w:styleId="a6">
    <w:name w:val="No Spacing"/>
    <w:uiPriority w:val="1"/>
    <w:qFormat/>
    <w:rPr>
      <w:rFonts w:ascii="Calibri" w:hAnsi="Calibri"/>
      <w:sz w:val="22"/>
      <w:szCs w:val="22"/>
      <w:lang w:eastAsia="en-US"/>
    </w:rPr>
  </w:style>
  <w:style w:type="paragraph" w:styleId="a7">
    <w:name w:val="Title"/>
    <w:basedOn w:val="a0"/>
    <w:next w:val="a0"/>
    <w:link w:val="a8"/>
    <w:qFormat/>
    <w:pPr>
      <w:contextualSpacing/>
    </w:pPr>
    <w:rPr>
      <w:rFonts w:eastAsia="Times New Roman"/>
      <w:sz w:val="28"/>
      <w:szCs w:val="20"/>
      <w:lang w:val="en-US" w:eastAsia="en-US"/>
    </w:rPr>
  </w:style>
  <w:style w:type="paragraph" w:styleId="a9">
    <w:name w:val="Subtitle"/>
    <w:basedOn w:val="a0"/>
    <w:next w:val="a0"/>
    <w:link w:val="aa"/>
    <w:qFormat/>
    <w:pPr>
      <w:numPr>
        <w:ilvl w:val="1"/>
      </w:numPr>
      <w:spacing w:after="160"/>
    </w:pPr>
    <w:rPr>
      <w:rFonts w:ascii="Cambria" w:eastAsia="Times New Roman" w:hAnsi="Cambria"/>
      <w:i/>
      <w:iCs/>
      <w:color w:val="4F81BD"/>
      <w:spacing w:val="15"/>
      <w:lang w:val="en-US"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2">
    <w:name w:val="Quote"/>
    <w:basedOn w:val="a0"/>
    <w:next w:val="a0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b">
    <w:name w:val="Intense Quote"/>
    <w:basedOn w:val="a0"/>
    <w:next w:val="a0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paragraph" w:customStyle="1" w:styleId="12">
    <w:name w:val="Верхний колонтитул1"/>
    <w:basedOn w:val="a0"/>
    <w:link w:val="HeaderChar"/>
    <w:uiPriority w:val="99"/>
    <w:unhideWhenUsed/>
    <w:pPr>
      <w:tabs>
        <w:tab w:val="center" w:pos="7143"/>
        <w:tab w:val="right" w:pos="14287"/>
      </w:tabs>
    </w:pPr>
  </w:style>
  <w:style w:type="paragraph" w:customStyle="1" w:styleId="13">
    <w:name w:val="Нижний колонтитул1"/>
    <w:basedOn w:val="a0"/>
    <w:link w:val="CaptionChar"/>
    <w:uiPriority w:val="99"/>
    <w:unhideWhenUsed/>
    <w:pPr>
      <w:tabs>
        <w:tab w:val="center" w:pos="7143"/>
        <w:tab w:val="right" w:pos="14287"/>
      </w:tabs>
    </w:pPr>
  </w:style>
  <w:style w:type="paragraph" w:customStyle="1" w:styleId="14">
    <w:name w:val="Название объекта1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3"/>
    <w:uiPriority w:val="99"/>
  </w:style>
  <w:style w:type="table" w:styleId="ad">
    <w:name w:val="Table Grid"/>
    <w:basedOn w:val="a2"/>
    <w:uiPriority w:val="59"/>
    <w:pPr>
      <w:ind w:firstLine="709"/>
      <w:jc w:val="both"/>
    </w:pPr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Pr>
      <w:rFonts w:ascii="Times New Roman" w:hAnsi="Times New Roman" w:cs="Times New Roman"/>
      <w:color w:val="0000FF"/>
      <w:u w:val="single"/>
    </w:rPr>
  </w:style>
  <w:style w:type="paragraph" w:styleId="af">
    <w:name w:val="footnote text"/>
    <w:basedOn w:val="a0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uiPriority w:val="99"/>
    <w:unhideWhenUsed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15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2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2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2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2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0"/>
    <w:next w:val="a0"/>
    <w:uiPriority w:val="99"/>
    <w:unhideWhenUsed/>
  </w:style>
  <w:style w:type="paragraph" w:customStyle="1" w:styleId="230">
    <w:name w:val="Заголовок 2;Знак3"/>
    <w:basedOn w:val="a0"/>
    <w:next w:val="a0"/>
    <w:link w:val="231"/>
    <w:uiPriority w:val="99"/>
    <w:qFormat/>
    <w:pPr>
      <w:keepNext/>
      <w:outlineLvl w:val="1"/>
    </w:pPr>
    <w:rPr>
      <w:rFonts w:eastAsia="Times New Roman"/>
      <w:sz w:val="28"/>
      <w:szCs w:val="20"/>
      <w:lang w:val="en-US" w:eastAsia="en-US"/>
    </w:rPr>
  </w:style>
  <w:style w:type="paragraph" w:styleId="af7">
    <w:name w:val="Body Text"/>
    <w:basedOn w:val="a0"/>
    <w:link w:val="af8"/>
    <w:uiPriority w:val="99"/>
    <w:pPr>
      <w:jc w:val="both"/>
    </w:pPr>
    <w:rPr>
      <w:rFonts w:eastAsia="Times New Roman"/>
      <w:sz w:val="28"/>
      <w:szCs w:val="20"/>
      <w:lang w:val="en-US" w:eastAsia="en-US"/>
    </w:rPr>
  </w:style>
  <w:style w:type="paragraph" w:styleId="af9">
    <w:name w:val="Body Text Indent"/>
    <w:basedOn w:val="a0"/>
    <w:link w:val="afa"/>
    <w:uiPriority w:val="99"/>
    <w:pPr>
      <w:ind w:firstLine="567"/>
    </w:pPr>
    <w:rPr>
      <w:rFonts w:eastAsia="Times New Roman"/>
      <w:sz w:val="28"/>
      <w:szCs w:val="20"/>
      <w:lang w:val="en-US" w:eastAsia="en-US"/>
    </w:rPr>
  </w:style>
  <w:style w:type="paragraph" w:styleId="25">
    <w:name w:val="Body Text Indent 2"/>
    <w:basedOn w:val="a0"/>
    <w:link w:val="26"/>
    <w:uiPriority w:val="99"/>
    <w:pPr>
      <w:ind w:firstLine="851"/>
      <w:jc w:val="both"/>
    </w:pPr>
    <w:rPr>
      <w:rFonts w:eastAsia="Times New Roman"/>
      <w:sz w:val="28"/>
      <w:szCs w:val="20"/>
      <w:lang w:val="en-US" w:eastAsia="en-US"/>
    </w:rPr>
  </w:style>
  <w:style w:type="paragraph" w:styleId="33">
    <w:name w:val="Body Text Indent 3"/>
    <w:basedOn w:val="a0"/>
    <w:link w:val="34"/>
    <w:uiPriority w:val="99"/>
    <w:pPr>
      <w:ind w:firstLine="851"/>
    </w:pPr>
    <w:rPr>
      <w:rFonts w:eastAsia="Times New Roman"/>
      <w:sz w:val="28"/>
      <w:szCs w:val="20"/>
      <w:lang w:val="en-US" w:eastAsia="en-US"/>
    </w:rPr>
  </w:style>
  <w:style w:type="paragraph" w:styleId="afb">
    <w:name w:val="caption"/>
    <w:basedOn w:val="a0"/>
    <w:next w:val="a0"/>
    <w:uiPriority w:val="99"/>
    <w:qFormat/>
    <w:pPr>
      <w:jc w:val="center"/>
    </w:pPr>
    <w:rPr>
      <w:b/>
      <w:sz w:val="32"/>
    </w:rPr>
  </w:style>
  <w:style w:type="paragraph" w:styleId="afc">
    <w:name w:val="Block Text"/>
    <w:basedOn w:val="a0"/>
    <w:uiPriority w:val="99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styleId="afd">
    <w:name w:val="header"/>
    <w:basedOn w:val="a0"/>
    <w:link w:val="afe"/>
    <w:uiPriority w:val="99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1"/>
    <w:link w:val="afd"/>
    <w:uiPriority w:val="99"/>
  </w:style>
  <w:style w:type="paragraph" w:styleId="aff">
    <w:name w:val="footer"/>
    <w:basedOn w:val="a0"/>
    <w:link w:val="aff0"/>
    <w:uiPriority w:val="99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1"/>
    <w:link w:val="aff"/>
    <w:uiPriority w:val="99"/>
  </w:style>
  <w:style w:type="character" w:customStyle="1" w:styleId="Datenum">
    <w:name w:val="Date_num"/>
    <w:uiPriority w:val="99"/>
  </w:style>
  <w:style w:type="character" w:customStyle="1" w:styleId="70">
    <w:name w:val="Заголовок 7 Знак"/>
    <w:link w:val="7"/>
    <w:uiPriority w:val="99"/>
    <w:rPr>
      <w:rFonts w:ascii="Cambria" w:eastAsia="Times New Roman" w:hAnsi="Cambria" w:cs="Times New Roman"/>
      <w:i/>
      <w:iCs/>
      <w:color w:val="243F60"/>
    </w:rPr>
  </w:style>
  <w:style w:type="character" w:customStyle="1" w:styleId="80">
    <w:name w:val="Заголовок 8 Знак"/>
    <w:link w:val="8"/>
    <w:uiPriority w:val="99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9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styleId="aff1">
    <w:name w:val="Placeholder Text"/>
    <w:uiPriority w:val="99"/>
    <w:semiHidden/>
    <w:rPr>
      <w:color w:val="808080"/>
    </w:rPr>
  </w:style>
  <w:style w:type="paragraph" w:customStyle="1" w:styleId="HeadDoc">
    <w:name w:val="HeadDoc"/>
    <w:link w:val="HeadDoc0"/>
    <w:uiPriority w:val="99"/>
    <w:qFormat/>
    <w:pPr>
      <w:keepLines/>
      <w:jc w:val="both"/>
    </w:pPr>
    <w:rPr>
      <w:sz w:val="28"/>
      <w:lang w:eastAsia="ru-RU"/>
    </w:rPr>
  </w:style>
  <w:style w:type="character" w:customStyle="1" w:styleId="HeadDoc0">
    <w:name w:val="HeadDoc Знак"/>
    <w:link w:val="HeadDoc"/>
    <w:uiPriority w:val="99"/>
    <w:rPr>
      <w:sz w:val="28"/>
      <w:lang w:val="ru-RU" w:eastAsia="ru-RU" w:bidi="ar-SA"/>
    </w:rPr>
  </w:style>
  <w:style w:type="paragraph" w:styleId="aff2">
    <w:name w:val="Balloon Text"/>
    <w:basedOn w:val="a0"/>
    <w:link w:val="aff3"/>
    <w:uiPriority w:val="99"/>
    <w:rPr>
      <w:rFonts w:ascii="Segoe UI" w:eastAsia="Times New Roman" w:hAnsi="Segoe UI"/>
      <w:sz w:val="18"/>
      <w:szCs w:val="18"/>
      <w:lang w:val="en-US" w:eastAsia="en-US"/>
    </w:rPr>
  </w:style>
  <w:style w:type="character" w:customStyle="1" w:styleId="aff3">
    <w:name w:val="Текст выноски Знак"/>
    <w:link w:val="aff2"/>
    <w:uiPriority w:val="9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rPr>
      <w:sz w:val="28"/>
    </w:rPr>
  </w:style>
  <w:style w:type="character" w:customStyle="1" w:styleId="231">
    <w:name w:val="Заголовок 2 Знак;Знак3 Знак"/>
    <w:link w:val="230"/>
    <w:uiPriority w:val="99"/>
    <w:rPr>
      <w:sz w:val="28"/>
    </w:rPr>
  </w:style>
  <w:style w:type="character" w:customStyle="1" w:styleId="30">
    <w:name w:val="Заголовок 3 Знак"/>
    <w:link w:val="3"/>
    <w:uiPriority w:val="99"/>
    <w:rPr>
      <w:sz w:val="28"/>
    </w:rPr>
  </w:style>
  <w:style w:type="character" w:customStyle="1" w:styleId="40">
    <w:name w:val="Заголовок 4 Знак"/>
    <w:link w:val="4"/>
    <w:uiPriority w:val="99"/>
    <w:rPr>
      <w:sz w:val="28"/>
    </w:rPr>
  </w:style>
  <w:style w:type="character" w:customStyle="1" w:styleId="50">
    <w:name w:val="Заголовок 5 Знак"/>
    <w:link w:val="5"/>
    <w:uiPriority w:val="99"/>
    <w:rPr>
      <w:sz w:val="24"/>
    </w:rPr>
  </w:style>
  <w:style w:type="character" w:customStyle="1" w:styleId="60">
    <w:name w:val="Заголовок 6 Знак"/>
    <w:link w:val="6"/>
    <w:uiPriority w:val="99"/>
    <w:rPr>
      <w:b/>
      <w:sz w:val="44"/>
    </w:rPr>
  </w:style>
  <w:style w:type="character" w:styleId="aff4">
    <w:name w:val="FollowedHyperlink"/>
    <w:uiPriority w:val="99"/>
    <w:unhideWhenUsed/>
    <w:rPr>
      <w:rFonts w:ascii="Times New Roman" w:hAnsi="Times New Roman" w:cs="Times New Roman"/>
      <w:color w:val="800080"/>
      <w:u w:val="single"/>
    </w:rPr>
  </w:style>
  <w:style w:type="character" w:styleId="aff5">
    <w:name w:val="Emphasis"/>
    <w:uiPriority w:val="20"/>
    <w:qFormat/>
    <w:rPr>
      <w:rFonts w:ascii="Times New Roman" w:hAnsi="Times New Roman" w:cs="Times New Roman"/>
      <w:i/>
    </w:rPr>
  </w:style>
  <w:style w:type="character" w:customStyle="1" w:styleId="2131">
    <w:name w:val="Заголовок 2 Знак1;Знак3 Знак1"/>
    <w:uiPriority w:val="99"/>
    <w:semiHidden/>
    <w:rPr>
      <w:rFonts w:ascii="Cambria" w:eastAsia="Times New Roman" w:hAnsi="Cambria" w:cs="Times New Roman"/>
      <w:color w:val="365F91"/>
      <w:sz w:val="26"/>
      <w:szCs w:val="26"/>
    </w:rPr>
  </w:style>
  <w:style w:type="paragraph" w:styleId="HTML">
    <w:name w:val="HTML Preformatted"/>
    <w:basedOn w:val="a0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en-US" w:eastAsia="en-US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/>
    </w:rPr>
  </w:style>
  <w:style w:type="character" w:styleId="aff6">
    <w:name w:val="Strong"/>
    <w:uiPriority w:val="22"/>
    <w:qFormat/>
    <w:rPr>
      <w:rFonts w:ascii="Times New Roman" w:hAnsi="Times New Roman" w:cs="Times New Roman"/>
      <w:b/>
    </w:rPr>
  </w:style>
  <w:style w:type="character" w:customStyle="1" w:styleId="1Web1Web121111Web4Web11213">
    <w:name w:val="Обычный (веб) Знак1;Обычный (Web)1 Знак;Обычный (Web) Знак1;Обычный (веб)211 Знак;Обычный (веб)11 Знак;Обычный (веб) Знак Знак;Обычный (Web) Знак Знак;Обычный (веб)4 Знак;Обычный (Web)11 Знак;Обычный (веб)21 Знак;Обычный (веб)3 Знак;Знак Знак Знак"/>
    <w:link w:val="Web1Web21111Web4Web11213Web"/>
    <w:rPr>
      <w:sz w:val="24"/>
    </w:rPr>
  </w:style>
  <w:style w:type="paragraph" w:customStyle="1" w:styleId="Web1Web21111Web4Web11213Web">
    <w:name w:val="Обычный (веб);Обычный (Web)1;Обычный (Web);Обычный (веб)211;Обычный (веб)11;Обычный (веб) Знак;Обычный (Web) Знак;Обычный (веб)4;Обычный (Web)11;Обычный (веб)21;Обычный (веб)3;Обычный (Web) Знак Знак Знак Знак;Знак Знак"/>
    <w:basedOn w:val="a0"/>
    <w:link w:val="1Web1Web121111Web4Web11213"/>
    <w:unhideWhenUsed/>
    <w:qFormat/>
    <w:pPr>
      <w:spacing w:after="200" w:line="276" w:lineRule="auto"/>
      <w:ind w:left="720"/>
      <w:contextualSpacing/>
    </w:pPr>
    <w:rPr>
      <w:rFonts w:eastAsia="Times New Roman"/>
      <w:szCs w:val="20"/>
      <w:lang w:val="en-US" w:eastAsia="en-US"/>
    </w:rPr>
  </w:style>
  <w:style w:type="character" w:customStyle="1" w:styleId="TableFootnotelast1Char1TextodenotaalpieChar1Textodenotaalpie1CharChar1Schriftart9pt1Schriftart10pt1Schriftart8pt1fn">
    <w:name w:val="Текст сноски Знак;Table_Footnote_last Знак1;Текст сноски Знак Знак Char Знак1;Texto de nota al pie Char Знак1;Texto de nota al pie Знак1;Текст сноски Знак Знак Char Char Знак1;Schriftart: 9 pt Знак1;Schriftart: 10 pt Знак1;Schriftart: 8 pt Знак1;fn Знак"/>
    <w:link w:val="TableFootnotelastCharTextodenotaalpieCharTextodenotaalpieCharCharSchriftart9ptSchriftart10ptSchriftart8ptsinglespace1fnft-FN"/>
    <w:uiPriority w:val="99"/>
    <w:rPr>
      <w:rFonts w:ascii="Arial" w:hAnsi="Arial" w:cs="Arial"/>
      <w:spacing w:val="-5"/>
      <w:lang w:eastAsia="en-US"/>
    </w:rPr>
  </w:style>
  <w:style w:type="paragraph" w:customStyle="1" w:styleId="TableFootnotelastCharTextodenotaalpieCharTextodenotaalpieCharCharSchriftart9ptSchriftart10ptSchriftart8ptsinglespace1fnft-FN">
    <w:name w:val="Текст сноски;Table_Footnote_last;Текст сноски Знак Знак Char;Texto de nota al pie Char;Texto de nota al pie;Текст сноски Знак Знак Char Char;Schriftart: 9 pt;Schriftart: 10 pt;Schriftart: 8 pt;single space;Текст сноски Знак1 Знак;fn;ft;Текст сноски-FN"/>
    <w:basedOn w:val="a0"/>
    <w:link w:val="TableFootnotelast1Char1TextodenotaalpieChar1Textodenotaalpie1CharChar1Schriftart9pt1Schriftart10pt1Schriftart8pt1fn"/>
    <w:uiPriority w:val="99"/>
    <w:unhideWhenUsed/>
    <w:qFormat/>
    <w:pPr>
      <w:ind w:left="835" w:right="835"/>
    </w:pPr>
    <w:rPr>
      <w:rFonts w:ascii="Arial" w:eastAsia="Times New Roman" w:hAnsi="Arial"/>
      <w:spacing w:val="-5"/>
      <w:sz w:val="20"/>
      <w:szCs w:val="20"/>
      <w:lang w:val="en-US" w:eastAsia="en-US"/>
    </w:rPr>
  </w:style>
  <w:style w:type="character" w:customStyle="1" w:styleId="1TableFootnotelastCharTextodenotaalpieCharTextodenotaalpieCharCharSchriftart9ptSchriftart10ptSchriftart8ptfn1">
    <w:name w:val="Текст сноски Знак1;Table_Footnote_last Знак;Текст сноски Знак Знак Char Знак;Texto de nota al pie Char Знак;Texto de nota al pie Знак;Текст сноски Знак Знак Char Char Знак;Schriftart: 9 pt Знак;Schriftart: 10 pt Знак;Schriftart: 8 pt Знак;fn Знак1"/>
    <w:basedOn w:val="a1"/>
    <w:uiPriority w:val="99"/>
  </w:style>
  <w:style w:type="character" w:customStyle="1" w:styleId="a8">
    <w:name w:val="Заголовок Знак"/>
    <w:link w:val="a7"/>
    <w:rPr>
      <w:sz w:val="28"/>
    </w:rPr>
  </w:style>
  <w:style w:type="character" w:customStyle="1" w:styleId="af8">
    <w:name w:val="Основной текст Знак"/>
    <w:link w:val="af7"/>
    <w:uiPriority w:val="99"/>
    <w:rPr>
      <w:sz w:val="28"/>
    </w:rPr>
  </w:style>
  <w:style w:type="character" w:customStyle="1" w:styleId="afa">
    <w:name w:val="Основной текст с отступом Знак"/>
    <w:link w:val="af9"/>
    <w:uiPriority w:val="99"/>
    <w:rPr>
      <w:sz w:val="28"/>
    </w:rPr>
  </w:style>
  <w:style w:type="character" w:customStyle="1" w:styleId="aa">
    <w:name w:val="Подзаголовок Знак"/>
    <w:link w:val="a9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27">
    <w:name w:val="Основной текст 2 Знак"/>
    <w:basedOn w:val="a1"/>
    <w:link w:val="28"/>
    <w:uiPriority w:val="99"/>
  </w:style>
  <w:style w:type="character" w:customStyle="1" w:styleId="35">
    <w:name w:val="Основной текст 3 Знак"/>
    <w:link w:val="36"/>
    <w:uiPriority w:val="99"/>
    <w:rPr>
      <w:sz w:val="16"/>
    </w:rPr>
  </w:style>
  <w:style w:type="character" w:customStyle="1" w:styleId="26">
    <w:name w:val="Основной текст с отступом 2 Знак"/>
    <w:link w:val="25"/>
    <w:uiPriority w:val="99"/>
    <w:rPr>
      <w:sz w:val="28"/>
    </w:rPr>
  </w:style>
  <w:style w:type="character" w:customStyle="1" w:styleId="34">
    <w:name w:val="Основной текст с отступом 3 Знак"/>
    <w:link w:val="33"/>
    <w:uiPriority w:val="99"/>
    <w:rPr>
      <w:sz w:val="28"/>
      <w:lang w:val="en-US"/>
    </w:rPr>
  </w:style>
  <w:style w:type="character" w:customStyle="1" w:styleId="aff7">
    <w:name w:val="Текст Знак"/>
    <w:link w:val="aff8"/>
    <w:rPr>
      <w:rFonts w:ascii="Courier New" w:hAnsi="Courier New" w:cs="Courier New"/>
      <w:b/>
    </w:rPr>
  </w:style>
  <w:style w:type="character" w:customStyle="1" w:styleId="a5">
    <w:name w:val="Абзац списка Знак"/>
    <w:link w:val="a4"/>
    <w:uiPriority w:val="34"/>
    <w:rPr>
      <w:rFonts w:ascii="Calibri" w:hAnsi="Calibri"/>
      <w:sz w:val="22"/>
      <w:szCs w:val="22"/>
      <w:lang w:eastAsia="en-US"/>
    </w:rPr>
  </w:style>
  <w:style w:type="paragraph" w:customStyle="1" w:styleId="53">
    <w:name w:val="Знак5 Знак Знак Знак Знак Знак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text20">
    <w:name w:val="text20"/>
    <w:basedOn w:val="a0"/>
    <w:uiPriority w:val="99"/>
    <w:qFormat/>
    <w:pPr>
      <w:spacing w:after="216" w:line="312" w:lineRule="auto"/>
    </w:pPr>
    <w:rPr>
      <w:rFonts w:ascii="Arial" w:hAnsi="Arial" w:cs="Arial"/>
      <w:sz w:val="18"/>
      <w:szCs w:val="18"/>
    </w:rPr>
  </w:style>
  <w:style w:type="paragraph" w:customStyle="1" w:styleId="pic1src1">
    <w:name w:val="pic1_src1"/>
    <w:basedOn w:val="a0"/>
    <w:uiPriority w:val="99"/>
    <w:qFormat/>
    <w:rPr>
      <w:rFonts w:ascii="Arial" w:hAnsi="Arial" w:cs="Arial"/>
      <w:color w:val="828282"/>
      <w:sz w:val="14"/>
      <w:szCs w:val="14"/>
    </w:rPr>
  </w:style>
  <w:style w:type="paragraph" w:customStyle="1" w:styleId="1body">
    <w:name w:val="1body"/>
    <w:basedOn w:val="a0"/>
    <w:uiPriority w:val="99"/>
    <w:qFormat/>
    <w:pPr>
      <w:ind w:firstLine="227"/>
      <w:jc w:val="both"/>
    </w:pPr>
  </w:style>
  <w:style w:type="paragraph" w:customStyle="1" w:styleId="aff9">
    <w:name w:val="Таблицы (моноширинный)"/>
    <w:basedOn w:val="a0"/>
    <w:next w:val="a0"/>
    <w:uiPriority w:val="99"/>
    <w:qFormat/>
    <w:pPr>
      <w:jc w:val="both"/>
    </w:pPr>
    <w:rPr>
      <w:rFonts w:ascii="Courier New" w:hAnsi="Courier New" w:cs="Courier New"/>
    </w:rPr>
  </w:style>
  <w:style w:type="paragraph" w:customStyle="1" w:styleId="ConsPlusTitle">
    <w:name w:val="ConsPlusTitle"/>
    <w:qFormat/>
    <w:rPr>
      <w:b/>
      <w:bCs/>
      <w:sz w:val="24"/>
      <w:szCs w:val="24"/>
      <w:lang w:eastAsia="ru-RU"/>
    </w:rPr>
  </w:style>
  <w:style w:type="paragraph" w:customStyle="1" w:styleId="interview1">
    <w:name w:val="interview1"/>
    <w:basedOn w:val="a0"/>
    <w:uiPriority w:val="99"/>
    <w:qFormat/>
    <w:pPr>
      <w:spacing w:after="144" w:line="312" w:lineRule="auto"/>
    </w:pPr>
    <w:rPr>
      <w:rFonts w:ascii="Arial" w:hAnsi="Arial" w:cs="Arial"/>
      <w:b/>
      <w:bCs/>
      <w:i/>
      <w:iCs/>
      <w:color w:val="333333"/>
      <w:sz w:val="18"/>
      <w:szCs w:val="18"/>
    </w:rPr>
  </w:style>
  <w:style w:type="paragraph" w:customStyle="1" w:styleId="213">
    <w:name w:val="Заголовок 213"/>
    <w:basedOn w:val="a0"/>
    <w:uiPriority w:val="99"/>
    <w:qFormat/>
    <w:pPr>
      <w:spacing w:after="216"/>
      <w:outlineLvl w:val="2"/>
    </w:pPr>
    <w:rPr>
      <w:rFonts w:ascii="Arial" w:hAnsi="Arial" w:cs="Arial"/>
      <w:color w:val="808080"/>
      <w:sz w:val="23"/>
      <w:szCs w:val="23"/>
    </w:rPr>
  </w:style>
  <w:style w:type="paragraph" w:customStyle="1" w:styleId="340">
    <w:name w:val="Заголовок 34"/>
    <w:basedOn w:val="a0"/>
    <w:uiPriority w:val="99"/>
    <w:qFormat/>
    <w:pPr>
      <w:spacing w:before="432" w:after="72"/>
      <w:outlineLvl w:val="3"/>
    </w:pPr>
    <w:rPr>
      <w:rFonts w:ascii="Arial" w:hAnsi="Arial" w:cs="Arial"/>
      <w:b/>
      <w:bCs/>
    </w:rPr>
  </w:style>
  <w:style w:type="paragraph" w:customStyle="1" w:styleId="16">
    <w:name w:val="Обычный (веб)1"/>
    <w:basedOn w:val="a0"/>
    <w:uiPriority w:val="99"/>
    <w:qFormat/>
    <w:pPr>
      <w:spacing w:before="100" w:beforeAutospacing="1" w:after="100" w:afterAutospacing="1"/>
      <w:jc w:val="both"/>
    </w:pPr>
    <w:rPr>
      <w:rFonts w:ascii="Arial" w:hAnsi="Arial" w:cs="Arial"/>
      <w:color w:val="333333"/>
      <w:sz w:val="18"/>
      <w:szCs w:val="18"/>
    </w:rPr>
  </w:style>
  <w:style w:type="paragraph" w:customStyle="1" w:styleId="affa">
    <w:name w:val="Термин"/>
    <w:basedOn w:val="a0"/>
    <w:next w:val="affb"/>
    <w:uiPriority w:val="99"/>
    <w:qFormat/>
  </w:style>
  <w:style w:type="paragraph" w:customStyle="1" w:styleId="affb">
    <w:name w:val="Список определений"/>
    <w:basedOn w:val="a0"/>
    <w:next w:val="affa"/>
    <w:uiPriority w:val="99"/>
    <w:qFormat/>
    <w:pPr>
      <w:ind w:left="360"/>
    </w:pPr>
  </w:style>
  <w:style w:type="paragraph" w:customStyle="1" w:styleId="affc">
    <w:name w:val="Стиль"/>
    <w:uiPriority w:val="99"/>
    <w:qFormat/>
    <w:pPr>
      <w:ind w:firstLine="720"/>
      <w:jc w:val="both"/>
    </w:pPr>
    <w:rPr>
      <w:rFonts w:ascii="Arial" w:hAnsi="Arial"/>
      <w:lang w:eastAsia="ru-RU"/>
    </w:rPr>
  </w:style>
  <w:style w:type="paragraph" w:customStyle="1" w:styleId="affd">
    <w:name w:val="Комментарий"/>
    <w:basedOn w:val="a0"/>
    <w:next w:val="a0"/>
    <w:uiPriority w:val="99"/>
    <w:qFormat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rmal">
    <w:name w:val="ConsNormal"/>
    <w:uiPriority w:val="99"/>
    <w:qFormat/>
    <w:pPr>
      <w:widowControl w:val="0"/>
      <w:ind w:right="19772" w:firstLine="720"/>
    </w:pPr>
    <w:rPr>
      <w:rFonts w:ascii="Arial" w:hAnsi="Arial" w:cs="Arial"/>
      <w:lang w:eastAsia="ru-RU"/>
    </w:rPr>
  </w:style>
  <w:style w:type="paragraph" w:customStyle="1" w:styleId="17">
    <w:name w:val="заголовок 1"/>
    <w:basedOn w:val="a0"/>
    <w:next w:val="a0"/>
    <w:uiPriority w:val="99"/>
    <w:qFormat/>
    <w:pPr>
      <w:keepNext/>
      <w:jc w:val="center"/>
    </w:pPr>
    <w:rPr>
      <w:b/>
      <w:sz w:val="32"/>
    </w:rPr>
  </w:style>
  <w:style w:type="paragraph" w:customStyle="1" w:styleId="43">
    <w:name w:val="заголовок 4"/>
    <w:basedOn w:val="a0"/>
    <w:next w:val="a0"/>
    <w:uiPriority w:val="99"/>
    <w:qFormat/>
    <w:pPr>
      <w:keepNext/>
      <w:jc w:val="center"/>
      <w:outlineLvl w:val="3"/>
    </w:pPr>
    <w:rPr>
      <w:b/>
      <w:sz w:val="40"/>
    </w:rPr>
  </w:style>
  <w:style w:type="paragraph" w:customStyle="1" w:styleId="18">
    <w:name w:val="Заголовок1"/>
    <w:basedOn w:val="a0"/>
    <w:next w:val="230"/>
    <w:uiPriority w:val="99"/>
    <w:qFormat/>
    <w:pPr>
      <w:widowControl w:val="0"/>
      <w:spacing w:after="200"/>
      <w:jc w:val="center"/>
    </w:pPr>
    <w:rPr>
      <w:b/>
      <w:bCs/>
      <w:sz w:val="32"/>
      <w:szCs w:val="32"/>
    </w:rPr>
  </w:style>
  <w:style w:type="paragraph" w:customStyle="1" w:styleId="29">
    <w:name w:val="Заголовок2"/>
    <w:basedOn w:val="a0"/>
    <w:next w:val="a0"/>
    <w:uiPriority w:val="99"/>
    <w:qFormat/>
    <w:pPr>
      <w:widowControl w:val="0"/>
      <w:spacing w:after="200"/>
      <w:jc w:val="center"/>
    </w:pPr>
    <w:rPr>
      <w:b/>
      <w:bCs/>
      <w:spacing w:val="60"/>
      <w:sz w:val="36"/>
      <w:szCs w:val="36"/>
    </w:rPr>
  </w:style>
  <w:style w:type="paragraph" w:customStyle="1" w:styleId="affe">
    <w:name w:val="письмо"/>
    <w:basedOn w:val="a0"/>
    <w:uiPriority w:val="99"/>
    <w:qFormat/>
    <w:pPr>
      <w:ind w:firstLine="709"/>
      <w:jc w:val="both"/>
    </w:pPr>
    <w:rPr>
      <w:sz w:val="28"/>
    </w:rPr>
  </w:style>
  <w:style w:type="paragraph" w:customStyle="1" w:styleId="211">
    <w:name w:val="Основной текст с отступом 21"/>
    <w:basedOn w:val="a0"/>
    <w:uiPriority w:val="99"/>
    <w:qFormat/>
    <w:pPr>
      <w:ind w:firstLine="709"/>
      <w:jc w:val="both"/>
    </w:pPr>
    <w:rPr>
      <w:sz w:val="28"/>
    </w:rPr>
  </w:style>
  <w:style w:type="paragraph" w:customStyle="1" w:styleId="afff">
    <w:name w:val="Нормальный"/>
    <w:basedOn w:val="a0"/>
    <w:qFormat/>
    <w:pPr>
      <w:jc w:val="both"/>
    </w:pPr>
    <w:rPr>
      <w:sz w:val="28"/>
    </w:rPr>
  </w:style>
  <w:style w:type="paragraph" w:customStyle="1" w:styleId="312">
    <w:name w:val="Основной текст с отступом 31"/>
    <w:basedOn w:val="a0"/>
    <w:qFormat/>
    <w:pPr>
      <w:widowControl w:val="0"/>
      <w:spacing w:line="259" w:lineRule="auto"/>
      <w:ind w:right="400" w:firstLine="851"/>
      <w:jc w:val="both"/>
    </w:pPr>
    <w:rPr>
      <w:sz w:val="22"/>
    </w:rPr>
  </w:style>
  <w:style w:type="paragraph" w:customStyle="1" w:styleId="FR3">
    <w:name w:val="FR3"/>
    <w:uiPriority w:val="99"/>
    <w:qFormat/>
    <w:pPr>
      <w:widowControl w:val="0"/>
      <w:spacing w:line="338" w:lineRule="auto"/>
      <w:ind w:firstLine="840"/>
    </w:pPr>
    <w:rPr>
      <w:rFonts w:ascii="Arial" w:hAnsi="Arial"/>
      <w:sz w:val="22"/>
      <w:lang w:eastAsia="ru-RU"/>
    </w:rPr>
  </w:style>
  <w:style w:type="paragraph" w:customStyle="1" w:styleId="620">
    <w:name w:val="Заголовок 62"/>
    <w:basedOn w:val="a0"/>
    <w:uiPriority w:val="99"/>
    <w:qFormat/>
    <w:pPr>
      <w:shd w:val="clear" w:color="auto" w:fill="EEEEEE"/>
      <w:jc w:val="center"/>
      <w:outlineLvl w:val="6"/>
    </w:pPr>
    <w:rPr>
      <w:b/>
      <w:bCs/>
    </w:rPr>
  </w:style>
  <w:style w:type="paragraph" w:customStyle="1" w:styleId="19">
    <w:name w:val="Стиль1"/>
    <w:basedOn w:val="a0"/>
    <w:uiPriority w:val="99"/>
    <w:qFormat/>
    <w:pPr>
      <w:ind w:firstLine="709"/>
      <w:jc w:val="both"/>
    </w:pPr>
  </w:style>
  <w:style w:type="paragraph" w:customStyle="1" w:styleId="220">
    <w:name w:val="Основной текст с отступом 22"/>
    <w:basedOn w:val="a0"/>
    <w:uiPriority w:val="99"/>
    <w:qFormat/>
    <w:pPr>
      <w:ind w:firstLine="426"/>
      <w:jc w:val="both"/>
    </w:pPr>
    <w:rPr>
      <w:sz w:val="28"/>
      <w:lang w:eastAsia="ar-SA"/>
    </w:rPr>
  </w:style>
  <w:style w:type="paragraph" w:customStyle="1" w:styleId="1a">
    <w:name w:val="Обычный1"/>
    <w:uiPriority w:val="99"/>
    <w:qFormat/>
    <w:rPr>
      <w:sz w:val="24"/>
      <w:lang w:eastAsia="ar-SA"/>
    </w:rPr>
  </w:style>
  <w:style w:type="paragraph" w:customStyle="1" w:styleId="212">
    <w:name w:val="Основной текст с отступом 212"/>
    <w:basedOn w:val="a0"/>
    <w:uiPriority w:val="99"/>
    <w:qFormat/>
    <w:pPr>
      <w:widowControl w:val="0"/>
      <w:ind w:firstLine="567"/>
      <w:jc w:val="both"/>
    </w:pPr>
    <w:rPr>
      <w:sz w:val="28"/>
      <w:lang w:eastAsia="ar-SA"/>
    </w:rPr>
  </w:style>
  <w:style w:type="character" w:customStyle="1" w:styleId="afff0">
    <w:name w:val="Татьяна Знак Знак"/>
    <w:link w:val="afff1"/>
    <w:uiPriority w:val="99"/>
    <w:rPr>
      <w:sz w:val="24"/>
    </w:rPr>
  </w:style>
  <w:style w:type="paragraph" w:customStyle="1" w:styleId="afff1">
    <w:name w:val="Татьяна Знак"/>
    <w:basedOn w:val="a0"/>
    <w:link w:val="afff0"/>
    <w:uiPriority w:val="99"/>
    <w:qFormat/>
    <w:pPr>
      <w:spacing w:line="312" w:lineRule="auto"/>
      <w:jc w:val="both"/>
    </w:pPr>
    <w:rPr>
      <w:rFonts w:eastAsia="Times New Roman"/>
      <w:szCs w:val="20"/>
      <w:lang w:val="en-US" w:eastAsia="en-US"/>
    </w:rPr>
  </w:style>
  <w:style w:type="paragraph" w:customStyle="1" w:styleId="afff2">
    <w:name w:val="Татьяна"/>
    <w:basedOn w:val="a0"/>
    <w:uiPriority w:val="99"/>
    <w:qFormat/>
    <w:pPr>
      <w:spacing w:before="240" w:after="240" w:line="312" w:lineRule="auto"/>
      <w:ind w:firstLine="709"/>
      <w:jc w:val="both"/>
    </w:pPr>
    <w:rPr>
      <w:bCs/>
    </w:rPr>
  </w:style>
  <w:style w:type="paragraph" w:customStyle="1" w:styleId="afff3">
    <w:name w:val="название таблицы"/>
    <w:basedOn w:val="a0"/>
    <w:next w:val="a0"/>
    <w:uiPriority w:val="99"/>
    <w:qFormat/>
    <w:pPr>
      <w:jc w:val="center"/>
    </w:pPr>
    <w:rPr>
      <w:b/>
      <w:bCs/>
    </w:rPr>
  </w:style>
  <w:style w:type="paragraph" w:customStyle="1" w:styleId="bodytext">
    <w:name w:val="bodytext"/>
    <w:basedOn w:val="a0"/>
    <w:uiPriority w:val="99"/>
    <w:qFormat/>
    <w:pPr>
      <w:ind w:right="150"/>
    </w:pPr>
    <w:rPr>
      <w:color w:val="949494"/>
    </w:rPr>
  </w:style>
  <w:style w:type="paragraph" w:customStyle="1" w:styleId="text">
    <w:name w:val="text"/>
    <w:basedOn w:val="a0"/>
    <w:uiPriority w:val="99"/>
    <w:qFormat/>
    <w:pPr>
      <w:spacing w:after="200" w:line="280" w:lineRule="exact"/>
      <w:jc w:val="both"/>
    </w:pPr>
    <w:rPr>
      <w:rFonts w:cs="Mangal"/>
      <w:lang w:val="en-GB" w:bidi="hi-IN"/>
    </w:rPr>
  </w:style>
  <w:style w:type="paragraph" w:customStyle="1" w:styleId="FR1">
    <w:name w:val="FR1"/>
    <w:uiPriority w:val="99"/>
    <w:qFormat/>
    <w:pPr>
      <w:widowControl w:val="0"/>
      <w:ind w:left="2120"/>
    </w:pPr>
    <w:rPr>
      <w:b/>
      <w:bCs/>
      <w:sz w:val="32"/>
      <w:szCs w:val="32"/>
      <w:lang w:eastAsia="ru-RU"/>
    </w:rPr>
  </w:style>
  <w:style w:type="paragraph" w:customStyle="1" w:styleId="FR2">
    <w:name w:val="FR2"/>
    <w:uiPriority w:val="99"/>
    <w:qFormat/>
    <w:pPr>
      <w:widowControl w:val="0"/>
      <w:ind w:left="3240"/>
    </w:pPr>
    <w:rPr>
      <w:rFonts w:ascii="Arial" w:hAnsi="Arial" w:cs="Arial"/>
      <w:sz w:val="12"/>
      <w:szCs w:val="12"/>
      <w:lang w:eastAsia="ru-RU"/>
    </w:rPr>
  </w:style>
  <w:style w:type="paragraph" w:customStyle="1" w:styleId="txt">
    <w:name w:val="txt"/>
    <w:basedOn w:val="a0"/>
    <w:uiPriority w:val="99"/>
    <w:qFormat/>
    <w:pPr>
      <w:spacing w:before="100" w:beforeAutospacing="1" w:after="100" w:afterAutospacing="1" w:line="240" w:lineRule="atLeast"/>
    </w:pPr>
    <w:rPr>
      <w:rFonts w:ascii="Arial" w:hAnsi="Arial" w:cs="Arial"/>
      <w:sz w:val="21"/>
      <w:szCs w:val="21"/>
    </w:rPr>
  </w:style>
  <w:style w:type="paragraph" w:customStyle="1" w:styleId="bodytext1">
    <w:name w:val="bodytext1"/>
    <w:basedOn w:val="a0"/>
    <w:uiPriority w:val="99"/>
    <w:qFormat/>
    <w:pPr>
      <w:spacing w:after="143" w:line="285" w:lineRule="atLeast"/>
    </w:pPr>
  </w:style>
  <w:style w:type="paragraph" w:customStyle="1" w:styleId="FR4">
    <w:name w:val="FR4"/>
    <w:uiPriority w:val="99"/>
    <w:qFormat/>
    <w:pPr>
      <w:widowControl w:val="0"/>
    </w:pPr>
    <w:rPr>
      <w:sz w:val="16"/>
      <w:lang w:eastAsia="ru-RU"/>
    </w:rPr>
  </w:style>
  <w:style w:type="paragraph" w:customStyle="1" w:styleId="1b">
    <w:name w:val="Знак1 Знак Знак"/>
    <w:basedOn w:val="a0"/>
    <w:uiPriority w:val="99"/>
    <w:qFormat/>
    <w:rPr>
      <w:rFonts w:ascii="Verdana" w:hAnsi="Verdana" w:cs="Verdana"/>
      <w:lang w:val="en-US" w:eastAsia="en-US"/>
    </w:rPr>
  </w:style>
  <w:style w:type="paragraph" w:customStyle="1" w:styleId="2110">
    <w:name w:val="Знак2 Знак Знак1 Знак1 Знак Знак Знак Знак Знак Знак Знак Знак Знак Знак Знак Знак Знак Знак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KGK9">
    <w:name w:val="1KG=K9"/>
    <w:uiPriority w:val="99"/>
    <w:qFormat/>
    <w:rPr>
      <w:rFonts w:ascii="MS Sans Serif" w:hAnsi="MS Sans Serif"/>
      <w:szCs w:val="24"/>
      <w:lang w:eastAsia="ru-RU"/>
    </w:rPr>
  </w:style>
  <w:style w:type="paragraph" w:customStyle="1" w:styleId="BodyTextIndent22">
    <w:name w:val="Body Text Indent 22"/>
    <w:basedOn w:val="a0"/>
    <w:uiPriority w:val="99"/>
    <w:qFormat/>
    <w:pPr>
      <w:widowControl w:val="0"/>
      <w:ind w:firstLine="567"/>
      <w:jc w:val="both"/>
    </w:pPr>
  </w:style>
  <w:style w:type="paragraph" w:customStyle="1" w:styleId="2a">
    <w:name w:val="Знак Знак2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f4">
    <w:name w:val="Содержимое таблицы"/>
    <w:basedOn w:val="a0"/>
    <w:uiPriority w:val="99"/>
    <w:qFormat/>
    <w:pPr>
      <w:widowControl w:val="0"/>
      <w:suppressLineNumbers/>
    </w:pPr>
  </w:style>
  <w:style w:type="paragraph" w:customStyle="1" w:styleId="Style1">
    <w:name w:val="Style1"/>
    <w:basedOn w:val="a0"/>
    <w:uiPriority w:val="99"/>
    <w:qFormat/>
    <w:pPr>
      <w:widowControl w:val="0"/>
      <w:spacing w:line="322" w:lineRule="exact"/>
      <w:ind w:firstLine="696"/>
      <w:jc w:val="both"/>
    </w:pPr>
  </w:style>
  <w:style w:type="paragraph" w:customStyle="1" w:styleId="Style2">
    <w:name w:val="Style2"/>
    <w:basedOn w:val="a0"/>
    <w:uiPriority w:val="99"/>
    <w:qFormat/>
    <w:pPr>
      <w:widowControl w:val="0"/>
      <w:spacing w:line="322" w:lineRule="exact"/>
      <w:jc w:val="both"/>
    </w:pPr>
  </w:style>
  <w:style w:type="paragraph" w:customStyle="1" w:styleId="Style3">
    <w:name w:val="Style3"/>
    <w:basedOn w:val="a0"/>
    <w:uiPriority w:val="99"/>
    <w:qFormat/>
    <w:pPr>
      <w:widowControl w:val="0"/>
      <w:spacing w:line="322" w:lineRule="exact"/>
      <w:ind w:firstLine="1474"/>
      <w:jc w:val="both"/>
    </w:pPr>
  </w:style>
  <w:style w:type="paragraph" w:customStyle="1" w:styleId="Style5">
    <w:name w:val="Style5"/>
    <w:basedOn w:val="a0"/>
    <w:uiPriority w:val="99"/>
    <w:qFormat/>
    <w:pPr>
      <w:widowControl w:val="0"/>
    </w:pPr>
  </w:style>
  <w:style w:type="paragraph" w:customStyle="1" w:styleId="Style6">
    <w:name w:val="Style6"/>
    <w:basedOn w:val="a0"/>
    <w:uiPriority w:val="99"/>
    <w:qFormat/>
    <w:pPr>
      <w:widowControl w:val="0"/>
      <w:spacing w:line="322" w:lineRule="exact"/>
      <w:jc w:val="right"/>
    </w:pPr>
  </w:style>
  <w:style w:type="paragraph" w:customStyle="1" w:styleId="Style7">
    <w:name w:val="Style7"/>
    <w:basedOn w:val="a0"/>
    <w:uiPriority w:val="99"/>
    <w:qFormat/>
    <w:pPr>
      <w:widowControl w:val="0"/>
    </w:pPr>
  </w:style>
  <w:style w:type="paragraph" w:customStyle="1" w:styleId="Style4">
    <w:name w:val="Style4"/>
    <w:basedOn w:val="a0"/>
    <w:uiPriority w:val="99"/>
    <w:qFormat/>
    <w:pPr>
      <w:widowControl w:val="0"/>
      <w:spacing w:line="322" w:lineRule="exact"/>
      <w:ind w:firstLine="701"/>
    </w:pPr>
  </w:style>
  <w:style w:type="paragraph" w:customStyle="1" w:styleId="330">
    <w:name w:val="Основной текст с отступом 33"/>
    <w:basedOn w:val="a0"/>
    <w:uiPriority w:val="99"/>
    <w:qFormat/>
    <w:pPr>
      <w:spacing w:line="360" w:lineRule="auto"/>
      <w:ind w:firstLine="851"/>
      <w:jc w:val="both"/>
    </w:pPr>
    <w:rPr>
      <w:lang w:eastAsia="ar-SA"/>
    </w:rPr>
  </w:style>
  <w:style w:type="paragraph" w:customStyle="1" w:styleId="ee1">
    <w:name w:val="загола'eeвок 1"/>
    <w:basedOn w:val="a0"/>
    <w:next w:val="a0"/>
    <w:uiPriority w:val="99"/>
    <w:qFormat/>
    <w:pPr>
      <w:keepNext/>
      <w:widowControl w:val="0"/>
      <w:jc w:val="center"/>
    </w:pPr>
  </w:style>
  <w:style w:type="paragraph" w:customStyle="1" w:styleId="bt">
    <w:name w:val="Основной текст.bt.Основной текст Знак"/>
    <w:basedOn w:val="a0"/>
    <w:uiPriority w:val="99"/>
    <w:qFormat/>
    <w:pPr>
      <w:spacing w:after="120"/>
    </w:pPr>
  </w:style>
  <w:style w:type="paragraph" w:customStyle="1" w:styleId="130">
    <w:name w:val="Знак13"/>
    <w:basedOn w:val="a0"/>
    <w:uiPriority w:val="99"/>
    <w:qFormat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3-1">
    <w:name w:val="Стиль13-1"/>
    <w:basedOn w:val="a0"/>
    <w:uiPriority w:val="99"/>
    <w:qFormat/>
    <w:pPr>
      <w:widowControl w:val="0"/>
      <w:ind w:firstLine="709"/>
      <w:jc w:val="both"/>
    </w:pPr>
    <w:rPr>
      <w:sz w:val="26"/>
    </w:rPr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hAnsi="Arial" w:cs="Arial"/>
      <w:lang w:eastAsia="ru-RU"/>
    </w:rPr>
  </w:style>
  <w:style w:type="paragraph" w:customStyle="1" w:styleId="afff5">
    <w:name w:val="Текст в заданном формате"/>
    <w:basedOn w:val="a0"/>
    <w:uiPriority w:val="99"/>
    <w:qFormat/>
    <w:pPr>
      <w:widowControl w:val="0"/>
    </w:pPr>
    <w:rPr>
      <w:rFonts w:ascii="Courier New" w:hAnsi="Courier New" w:cs="Courier New"/>
    </w:rPr>
  </w:style>
  <w:style w:type="paragraph" w:customStyle="1" w:styleId="120">
    <w:name w:val="Обычный12"/>
    <w:uiPriority w:val="99"/>
    <w:qFormat/>
    <w:pPr>
      <w:spacing w:after="200" w:line="276" w:lineRule="auto"/>
    </w:pPr>
    <w:rPr>
      <w:rFonts w:ascii="Courier New" w:hAnsi="Courier New"/>
      <w:sz w:val="22"/>
      <w:szCs w:val="22"/>
      <w:lang w:eastAsia="ru-RU"/>
    </w:rPr>
  </w:style>
  <w:style w:type="paragraph" w:customStyle="1" w:styleId="afff6">
    <w:name w:val="Основной"/>
    <w:basedOn w:val="a0"/>
    <w:uiPriority w:val="99"/>
    <w:qFormat/>
    <w:pPr>
      <w:spacing w:before="120"/>
      <w:ind w:firstLine="720"/>
      <w:jc w:val="both"/>
    </w:pPr>
    <w:rPr>
      <w:sz w:val="28"/>
    </w:rPr>
  </w:style>
  <w:style w:type="paragraph" w:customStyle="1" w:styleId="ConsPlusNonformat">
    <w:name w:val="ConsPlusNonformat"/>
    <w:uiPriority w:val="99"/>
    <w:qFormat/>
    <w:pPr>
      <w:widowControl w:val="0"/>
    </w:pPr>
    <w:rPr>
      <w:rFonts w:ascii="Courier New" w:hAnsi="Courier New" w:cs="Courier New"/>
      <w:lang w:eastAsia="ru-RU"/>
    </w:rPr>
  </w:style>
  <w:style w:type="paragraph" w:customStyle="1" w:styleId="1c">
    <w:name w:val="Название объекта1"/>
    <w:basedOn w:val="a0"/>
    <w:uiPriority w:val="99"/>
    <w:qFormat/>
    <w:pPr>
      <w:jc w:val="center"/>
    </w:pPr>
    <w:rPr>
      <w:sz w:val="36"/>
      <w:lang w:eastAsia="ar-SA"/>
    </w:rPr>
  </w:style>
  <w:style w:type="paragraph" w:customStyle="1" w:styleId="afff7">
    <w:name w:val="Знак Знак Знак Знак Знак Знак Знак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Default">
    <w:name w:val="Default"/>
    <w:qFormat/>
    <w:rPr>
      <w:rFonts w:ascii="Calibri" w:hAnsi="Calibri" w:cs="Calibri"/>
      <w:color w:val="000000"/>
      <w:sz w:val="24"/>
      <w:szCs w:val="24"/>
      <w:lang w:eastAsia="ru-RU"/>
    </w:rPr>
  </w:style>
  <w:style w:type="paragraph" w:customStyle="1" w:styleId="fn2r">
    <w:name w:val="fn2r"/>
    <w:basedOn w:val="a0"/>
    <w:uiPriority w:val="99"/>
    <w:qFormat/>
    <w:pPr>
      <w:spacing w:before="100" w:beforeAutospacing="1" w:after="100" w:afterAutospacing="1"/>
    </w:pPr>
  </w:style>
  <w:style w:type="paragraph" w:customStyle="1" w:styleId="rtejustify">
    <w:name w:val="rtejustify"/>
    <w:basedOn w:val="a0"/>
    <w:uiPriority w:val="99"/>
    <w:qFormat/>
    <w:pPr>
      <w:spacing w:before="240" w:after="240"/>
      <w:jc w:val="both"/>
    </w:pPr>
  </w:style>
  <w:style w:type="paragraph" w:customStyle="1" w:styleId="a">
    <w:name w:val="Список с кружком"/>
    <w:basedOn w:val="a0"/>
    <w:uiPriority w:val="99"/>
    <w:qFormat/>
    <w:pPr>
      <w:numPr>
        <w:numId w:val="1"/>
      </w:numPr>
    </w:pPr>
  </w:style>
  <w:style w:type="paragraph" w:customStyle="1" w:styleId="2b">
    <w:name w:val="Обычный2"/>
    <w:uiPriority w:val="99"/>
    <w:qFormat/>
    <w:rPr>
      <w:lang w:eastAsia="ru-RU"/>
    </w:rPr>
  </w:style>
  <w:style w:type="paragraph" w:customStyle="1" w:styleId="afff8">
    <w:name w:val="a"/>
    <w:basedOn w:val="a0"/>
    <w:uiPriority w:val="99"/>
    <w:qFormat/>
    <w:pPr>
      <w:spacing w:before="100" w:beforeAutospacing="1" w:after="100" w:afterAutospacing="1"/>
    </w:pPr>
  </w:style>
  <w:style w:type="paragraph" w:customStyle="1" w:styleId="4BIKITI">
    <w:name w:val="Заголовок4;BIKITI"/>
    <w:uiPriority w:val="99"/>
    <w:qFormat/>
    <w:pPr>
      <w:spacing w:after="57" w:line="240" w:lineRule="atLeast"/>
      <w:ind w:left="283"/>
    </w:pPr>
    <w:rPr>
      <w:rFonts w:ascii="BalticaCTT" w:hAnsi="BalticaCTT" w:cs="BalticaCTT"/>
      <w:b/>
      <w:bCs/>
      <w:color w:val="000000"/>
      <w:sz w:val="22"/>
      <w:szCs w:val="22"/>
      <w:lang w:eastAsia="ru-RU"/>
    </w:rPr>
  </w:style>
  <w:style w:type="paragraph" w:customStyle="1" w:styleId="14125">
    <w:name w:val="Стиль 14 пт Первая строка:  125 см"/>
    <w:basedOn w:val="a0"/>
    <w:uiPriority w:val="99"/>
    <w:qFormat/>
    <w:pPr>
      <w:ind w:firstLine="709"/>
      <w:jc w:val="both"/>
    </w:pPr>
    <w:rPr>
      <w:sz w:val="28"/>
    </w:rPr>
  </w:style>
  <w:style w:type="paragraph" w:customStyle="1" w:styleId="afff9">
    <w:name w:val="Чиновничий"/>
    <w:basedOn w:val="a0"/>
    <w:uiPriority w:val="99"/>
    <w:qFormat/>
    <w:pPr>
      <w:widowControl w:val="0"/>
      <w:spacing w:line="300" w:lineRule="exact"/>
      <w:ind w:firstLine="709"/>
      <w:jc w:val="both"/>
    </w:pPr>
    <w:rPr>
      <w:sz w:val="26"/>
      <w:szCs w:val="26"/>
    </w:rPr>
  </w:style>
  <w:style w:type="paragraph" w:customStyle="1" w:styleId="subhead">
    <w:name w:val="subhead"/>
    <w:basedOn w:val="a0"/>
    <w:uiPriority w:val="99"/>
    <w:qFormat/>
    <w:pPr>
      <w:spacing w:before="100" w:beforeAutospacing="1" w:after="100" w:afterAutospacing="1"/>
    </w:pPr>
    <w:rPr>
      <w:rFonts w:ascii="Arial" w:hAnsi="Arial" w:cs="Arial"/>
      <w:sz w:val="30"/>
      <w:szCs w:val="30"/>
    </w:rPr>
  </w:style>
  <w:style w:type="paragraph" w:customStyle="1" w:styleId="1d">
    <w:name w:val="Список1"/>
    <w:basedOn w:val="a0"/>
    <w:uiPriority w:val="99"/>
    <w:qFormat/>
    <w:pPr>
      <w:spacing w:before="100" w:beforeAutospacing="1" w:after="100" w:afterAutospacing="1"/>
    </w:pPr>
    <w:rPr>
      <w:rFonts w:ascii="Arial" w:hAnsi="Arial" w:cs="Arial"/>
      <w:i/>
      <w:iCs/>
      <w:sz w:val="26"/>
      <w:szCs w:val="26"/>
    </w:rPr>
  </w:style>
  <w:style w:type="paragraph" w:customStyle="1" w:styleId="showtableon">
    <w:name w:val="showtableon"/>
    <w:basedOn w:val="a0"/>
    <w:uiPriority w:val="99"/>
    <w:qFormat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showtableout">
    <w:name w:val="showtableout"/>
    <w:basedOn w:val="a0"/>
    <w:uiPriority w:val="99"/>
    <w:qFormat/>
    <w:pPr>
      <w:spacing w:before="100" w:beforeAutospacing="1" w:after="100" w:afterAutospacing="1"/>
    </w:pPr>
    <w:rPr>
      <w:color w:val="0000FF"/>
    </w:rPr>
  </w:style>
  <w:style w:type="paragraph" w:customStyle="1" w:styleId="rubrtbl">
    <w:name w:val="rubrtbl"/>
    <w:basedOn w:val="a0"/>
    <w:uiPriority w:val="99"/>
    <w:qFormat/>
    <w:pPr>
      <w:spacing w:before="100" w:beforeAutospacing="1" w:after="100" w:afterAutospacing="1"/>
    </w:pPr>
    <w:rPr>
      <w:rFonts w:ascii="Arial" w:hAnsi="Arial" w:cs="Arial"/>
      <w:sz w:val="30"/>
      <w:szCs w:val="30"/>
    </w:rPr>
  </w:style>
  <w:style w:type="paragraph" w:customStyle="1" w:styleId="select">
    <w:name w:val="select"/>
    <w:basedOn w:val="a0"/>
    <w:uiPriority w:val="99"/>
    <w:qFormat/>
    <w:pPr>
      <w:spacing w:before="100" w:beforeAutospacing="1" w:after="100" w:afterAutospacing="1"/>
    </w:pPr>
    <w:rPr>
      <w:sz w:val="16"/>
      <w:szCs w:val="16"/>
    </w:rPr>
  </w:style>
  <w:style w:type="paragraph" w:customStyle="1" w:styleId="selectpok">
    <w:name w:val="selectpok"/>
    <w:basedOn w:val="a0"/>
    <w:uiPriority w:val="99"/>
    <w:qFormat/>
    <w:pPr>
      <w:spacing w:before="100" w:beforeAutospacing="1" w:after="100" w:afterAutospacing="1"/>
    </w:pPr>
  </w:style>
  <w:style w:type="paragraph" w:customStyle="1" w:styleId="selectcell">
    <w:name w:val="selectcell"/>
    <w:basedOn w:val="a0"/>
    <w:uiPriority w:val="99"/>
    <w:qFormat/>
    <w:pPr>
      <w:shd w:val="clear" w:color="auto" w:fill="A0ABC6"/>
      <w:spacing w:before="100" w:beforeAutospacing="1" w:after="100" w:afterAutospacing="1"/>
    </w:pPr>
  </w:style>
  <w:style w:type="paragraph" w:customStyle="1" w:styleId="selectword">
    <w:name w:val="selectword"/>
    <w:basedOn w:val="a0"/>
    <w:uiPriority w:val="99"/>
    <w:qFormat/>
    <w:pPr>
      <w:spacing w:before="100" w:beforeAutospacing="1" w:after="100" w:afterAutospacing="1"/>
    </w:pPr>
    <w:rPr>
      <w:sz w:val="16"/>
      <w:szCs w:val="16"/>
    </w:rPr>
  </w:style>
  <w:style w:type="paragraph" w:customStyle="1" w:styleId="selectformat">
    <w:name w:val="selectformat"/>
    <w:basedOn w:val="a0"/>
    <w:uiPriority w:val="99"/>
    <w:qFormat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showtblcell">
    <w:name w:val="showtblcell"/>
    <w:basedOn w:val="a0"/>
    <w:uiPriority w:val="99"/>
    <w:qFormat/>
    <w:pPr>
      <w:shd w:val="clear" w:color="auto" w:fill="A0ABC6"/>
      <w:spacing w:before="100" w:beforeAutospacing="1" w:after="100" w:afterAutospacing="1"/>
    </w:pPr>
  </w:style>
  <w:style w:type="paragraph" w:customStyle="1" w:styleId="kolichestvo">
    <w:name w:val="kolichestvo"/>
    <w:basedOn w:val="a0"/>
    <w:uiPriority w:val="99"/>
    <w:qFormat/>
    <w:pPr>
      <w:spacing w:before="100" w:beforeAutospacing="1" w:after="100" w:afterAutospacing="1"/>
    </w:pPr>
    <w:rPr>
      <w:sz w:val="16"/>
      <w:szCs w:val="16"/>
    </w:rPr>
  </w:style>
  <w:style w:type="paragraph" w:customStyle="1" w:styleId="koltitle">
    <w:name w:val="koltitle"/>
    <w:basedOn w:val="a0"/>
    <w:uiPriority w:val="99"/>
    <w:qFormat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order">
    <w:name w:val="order"/>
    <w:basedOn w:val="a0"/>
    <w:uiPriority w:val="99"/>
    <w:qFormat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hlpbtnstyle">
    <w:name w:val="hlpbtnstyle"/>
    <w:basedOn w:val="a0"/>
    <w:uiPriority w:val="99"/>
    <w:qFormat/>
    <w:pPr>
      <w:shd w:val="clear" w:color="auto" w:fill="A0ABC6"/>
      <w:spacing w:before="100" w:beforeAutospacing="1" w:after="100" w:afterAutospacing="1"/>
    </w:pPr>
  </w:style>
  <w:style w:type="paragraph" w:customStyle="1" w:styleId="btnstyle">
    <w:name w:val="btnstyle"/>
    <w:basedOn w:val="a0"/>
    <w:uiPriority w:val="99"/>
    <w:qFormat/>
    <w:pPr>
      <w:shd w:val="clear" w:color="auto" w:fill="A0ABC6"/>
      <w:spacing w:before="100" w:beforeAutospacing="1" w:after="100" w:afterAutospacing="1"/>
    </w:pPr>
  </w:style>
  <w:style w:type="paragraph" w:customStyle="1" w:styleId="outtbl">
    <w:name w:val="outtbl"/>
    <w:basedOn w:val="a0"/>
    <w:uiPriority w:val="99"/>
    <w:qFormat/>
    <w:pPr>
      <w:spacing w:before="100" w:beforeAutospacing="1" w:after="100" w:afterAutospacing="1"/>
    </w:pPr>
    <w:rPr>
      <w:sz w:val="22"/>
      <w:szCs w:val="22"/>
    </w:rPr>
  </w:style>
  <w:style w:type="paragraph" w:customStyle="1" w:styleId="zagtbl">
    <w:name w:val="zagtbl"/>
    <w:basedOn w:val="a0"/>
    <w:uiPriority w:val="99"/>
    <w:qFormat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tblshap">
    <w:name w:val="tblshap"/>
    <w:basedOn w:val="a0"/>
    <w:uiPriority w:val="99"/>
    <w:qFormat/>
    <w:pPr>
      <w:shd w:val="clear" w:color="auto" w:fill="D3D3D3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tblbok">
    <w:name w:val="tblbok"/>
    <w:basedOn w:val="a0"/>
    <w:uiPriority w:val="99"/>
    <w:qFormat/>
    <w:pPr>
      <w:shd w:val="clear" w:color="auto" w:fill="D3D3D3"/>
      <w:spacing w:before="100" w:beforeAutospacing="1" w:after="100" w:afterAutospacing="1"/>
    </w:pPr>
  </w:style>
  <w:style w:type="paragraph" w:customStyle="1" w:styleId="selectcellft">
    <w:name w:val="selectcellft"/>
    <w:basedOn w:val="a0"/>
    <w:uiPriority w:val="99"/>
    <w:qFormat/>
    <w:pPr>
      <w:shd w:val="clear" w:color="auto" w:fill="C8CEDD"/>
      <w:spacing w:before="100" w:beforeAutospacing="1" w:after="100" w:afterAutospacing="1"/>
    </w:pPr>
    <w:rPr>
      <w:color w:val="000080"/>
    </w:rPr>
  </w:style>
  <w:style w:type="paragraph" w:customStyle="1" w:styleId="bl0">
    <w:name w:val="bl0"/>
    <w:basedOn w:val="a0"/>
    <w:uiPriority w:val="99"/>
    <w:qFormat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bl1">
    <w:name w:val="bl1"/>
    <w:basedOn w:val="a0"/>
    <w:uiPriority w:val="99"/>
    <w:qFormat/>
    <w:pPr>
      <w:spacing w:before="100" w:beforeAutospacing="1" w:after="100" w:afterAutospacing="1"/>
    </w:pPr>
    <w:rPr>
      <w:sz w:val="22"/>
      <w:szCs w:val="22"/>
    </w:rPr>
  </w:style>
  <w:style w:type="paragraph" w:customStyle="1" w:styleId="bl2">
    <w:name w:val="bl2"/>
    <w:basedOn w:val="a0"/>
    <w:uiPriority w:val="99"/>
    <w:qFormat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bl3">
    <w:name w:val="bl3"/>
    <w:basedOn w:val="a0"/>
    <w:uiPriority w:val="99"/>
    <w:qFormat/>
    <w:pPr>
      <w:spacing w:before="100" w:beforeAutospacing="1" w:after="100" w:afterAutospacing="1"/>
    </w:pPr>
    <w:rPr>
      <w:sz w:val="19"/>
      <w:szCs w:val="19"/>
    </w:rPr>
  </w:style>
  <w:style w:type="paragraph" w:customStyle="1" w:styleId="bl4">
    <w:name w:val="bl4"/>
    <w:basedOn w:val="a0"/>
    <w:uiPriority w:val="99"/>
    <w:qFormat/>
    <w:pPr>
      <w:spacing w:before="100" w:beforeAutospacing="1" w:after="100" w:afterAutospacing="1"/>
    </w:pPr>
    <w:rPr>
      <w:sz w:val="19"/>
      <w:szCs w:val="19"/>
    </w:rPr>
  </w:style>
  <w:style w:type="paragraph" w:customStyle="1" w:styleId="bl5">
    <w:name w:val="bl5"/>
    <w:basedOn w:val="a0"/>
    <w:uiPriority w:val="99"/>
    <w:qFormat/>
    <w:pPr>
      <w:spacing w:before="100" w:beforeAutospacing="1" w:after="100" w:afterAutospacing="1"/>
    </w:pPr>
    <w:rPr>
      <w:sz w:val="19"/>
      <w:szCs w:val="19"/>
    </w:rPr>
  </w:style>
  <w:style w:type="paragraph" w:customStyle="1" w:styleId="bl6">
    <w:name w:val="bl6"/>
    <w:basedOn w:val="a0"/>
    <w:uiPriority w:val="99"/>
    <w:qFormat/>
    <w:pPr>
      <w:spacing w:before="100" w:beforeAutospacing="1" w:after="100" w:afterAutospacing="1"/>
    </w:pPr>
    <w:rPr>
      <w:sz w:val="19"/>
      <w:szCs w:val="19"/>
    </w:rPr>
  </w:style>
  <w:style w:type="paragraph" w:customStyle="1" w:styleId="bl7">
    <w:name w:val="bl7"/>
    <w:basedOn w:val="a0"/>
    <w:uiPriority w:val="99"/>
    <w:qFormat/>
    <w:pPr>
      <w:spacing w:before="100" w:beforeAutospacing="1" w:after="100" w:afterAutospacing="1"/>
    </w:pPr>
    <w:rPr>
      <w:sz w:val="19"/>
      <w:szCs w:val="19"/>
    </w:rPr>
  </w:style>
  <w:style w:type="paragraph" w:customStyle="1" w:styleId="bl8">
    <w:name w:val="bl8"/>
    <w:basedOn w:val="a0"/>
    <w:uiPriority w:val="99"/>
    <w:qFormat/>
    <w:pPr>
      <w:spacing w:before="100" w:beforeAutospacing="1" w:after="100" w:afterAutospacing="1"/>
    </w:pPr>
    <w:rPr>
      <w:sz w:val="19"/>
      <w:szCs w:val="19"/>
    </w:rPr>
  </w:style>
  <w:style w:type="paragraph" w:customStyle="1" w:styleId="no-main-section">
    <w:name w:val="no-main-section"/>
    <w:basedOn w:val="a0"/>
    <w:uiPriority w:val="99"/>
    <w:qFormat/>
    <w:pPr>
      <w:spacing w:before="100" w:beforeAutospacing="1" w:after="100" w:afterAutospacing="1" w:line="374" w:lineRule="atLeast"/>
    </w:pPr>
    <w:rPr>
      <w:rFonts w:ascii="Arial" w:hAnsi="Arial" w:cs="Arial"/>
      <w:color w:val="636363"/>
      <w:sz w:val="32"/>
      <w:szCs w:val="32"/>
    </w:rPr>
  </w:style>
  <w:style w:type="character" w:customStyle="1" w:styleId="afffa">
    <w:name w:val="Основной текст_"/>
    <w:link w:val="1e"/>
    <w:rPr>
      <w:spacing w:val="2"/>
      <w:sz w:val="26"/>
      <w:shd w:val="clear" w:color="auto" w:fill="FFFFFF"/>
    </w:rPr>
  </w:style>
  <w:style w:type="paragraph" w:customStyle="1" w:styleId="1e">
    <w:name w:val="Основной текст1"/>
    <w:basedOn w:val="a0"/>
    <w:link w:val="afffa"/>
    <w:uiPriority w:val="1"/>
    <w:qFormat/>
    <w:pPr>
      <w:shd w:val="clear" w:color="auto" w:fill="FFFFFF"/>
      <w:spacing w:before="300" w:after="300" w:line="334" w:lineRule="exact"/>
      <w:ind w:hanging="420"/>
      <w:jc w:val="center"/>
    </w:pPr>
    <w:rPr>
      <w:rFonts w:eastAsia="Times New Roman"/>
      <w:spacing w:val="2"/>
      <w:sz w:val="26"/>
      <w:szCs w:val="20"/>
      <w:lang w:val="en-US" w:eastAsia="en-US"/>
    </w:rPr>
  </w:style>
  <w:style w:type="paragraph" w:customStyle="1" w:styleId="afffb">
    <w:name w:val="Прижатый влево"/>
    <w:basedOn w:val="a0"/>
    <w:next w:val="a0"/>
    <w:uiPriority w:val="99"/>
    <w:qFormat/>
    <w:pPr>
      <w:widowControl w:val="0"/>
    </w:pPr>
    <w:rPr>
      <w:rFonts w:ascii="Arial" w:hAnsi="Arial" w:cs="Arial"/>
    </w:rPr>
  </w:style>
  <w:style w:type="paragraph" w:customStyle="1" w:styleId="Caaieiaieiino">
    <w:name w:val="Caaieiaie_iino"/>
    <w:basedOn w:val="a0"/>
    <w:uiPriority w:val="99"/>
    <w:qFormat/>
    <w:pPr>
      <w:tabs>
        <w:tab w:val="left" w:pos="10440"/>
      </w:tabs>
      <w:ind w:left="720" w:right="4627"/>
    </w:pPr>
    <w:rPr>
      <w:sz w:val="26"/>
    </w:rPr>
  </w:style>
  <w:style w:type="paragraph" w:customStyle="1" w:styleId="afffc">
    <w:name w:val="Нормальный (таблица)"/>
    <w:basedOn w:val="a0"/>
    <w:next w:val="a0"/>
    <w:uiPriority w:val="99"/>
    <w:qFormat/>
    <w:pPr>
      <w:jc w:val="both"/>
    </w:pPr>
    <w:rPr>
      <w:rFonts w:ascii="Arial" w:hAnsi="Arial"/>
    </w:rPr>
  </w:style>
  <w:style w:type="paragraph" w:customStyle="1" w:styleId="1f">
    <w:name w:val="Абзац списка1"/>
    <w:basedOn w:val="a0"/>
    <w:qFormat/>
    <w:pPr>
      <w:ind w:left="720"/>
      <w:contextualSpacing/>
    </w:pPr>
    <w:rPr>
      <w:sz w:val="28"/>
    </w:rPr>
  </w:style>
  <w:style w:type="character" w:customStyle="1" w:styleId="112">
    <w:name w:val="Основной текст (11)_"/>
    <w:link w:val="113"/>
    <w:uiPriority w:val="99"/>
    <w:rPr>
      <w:sz w:val="26"/>
      <w:shd w:val="clear" w:color="auto" w:fill="FFFFFF"/>
    </w:rPr>
  </w:style>
  <w:style w:type="paragraph" w:customStyle="1" w:styleId="113">
    <w:name w:val="Основной текст (11)"/>
    <w:basedOn w:val="a0"/>
    <w:link w:val="112"/>
    <w:uiPriority w:val="99"/>
    <w:qFormat/>
    <w:pPr>
      <w:shd w:val="clear" w:color="auto" w:fill="FFFFFF"/>
      <w:spacing w:before="360" w:after="60" w:line="240" w:lineRule="atLeast"/>
      <w:ind w:firstLine="709"/>
      <w:contextualSpacing/>
      <w:jc w:val="both"/>
    </w:pPr>
    <w:rPr>
      <w:rFonts w:eastAsia="Times New Roman"/>
      <w:sz w:val="26"/>
      <w:szCs w:val="20"/>
      <w:lang w:val="en-US" w:eastAsia="en-US"/>
    </w:rPr>
  </w:style>
  <w:style w:type="character" w:customStyle="1" w:styleId="2c">
    <w:name w:val="Заголовок №2_"/>
    <w:link w:val="2d"/>
    <w:uiPriority w:val="99"/>
    <w:rPr>
      <w:spacing w:val="1"/>
      <w:sz w:val="25"/>
      <w:shd w:val="clear" w:color="auto" w:fill="FFFFFF"/>
    </w:rPr>
  </w:style>
  <w:style w:type="paragraph" w:customStyle="1" w:styleId="2d">
    <w:name w:val="Заголовок №2"/>
    <w:basedOn w:val="a0"/>
    <w:link w:val="2c"/>
    <w:uiPriority w:val="99"/>
    <w:qFormat/>
    <w:pPr>
      <w:shd w:val="clear" w:color="auto" w:fill="FFFFFF"/>
      <w:spacing w:line="322" w:lineRule="exact"/>
      <w:ind w:firstLine="700"/>
      <w:contextualSpacing/>
      <w:jc w:val="both"/>
      <w:outlineLvl w:val="1"/>
    </w:pPr>
    <w:rPr>
      <w:rFonts w:eastAsia="Times New Roman"/>
      <w:spacing w:val="1"/>
      <w:sz w:val="25"/>
      <w:szCs w:val="20"/>
      <w:lang w:val="en-US" w:eastAsia="en-US"/>
    </w:rPr>
  </w:style>
  <w:style w:type="paragraph" w:customStyle="1" w:styleId="520">
    <w:name w:val="Знак5 Знак Знак Знак Знак Знак2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110">
    <w:name w:val="Основной текст с отступом 311"/>
    <w:basedOn w:val="a0"/>
    <w:uiPriority w:val="99"/>
    <w:qFormat/>
    <w:pPr>
      <w:widowControl w:val="0"/>
      <w:spacing w:line="259" w:lineRule="auto"/>
      <w:ind w:right="400" w:firstLine="851"/>
      <w:jc w:val="both"/>
    </w:pPr>
    <w:rPr>
      <w:sz w:val="22"/>
    </w:rPr>
  </w:style>
  <w:style w:type="paragraph" w:customStyle="1" w:styleId="2111">
    <w:name w:val="Основной текст с отступом 211"/>
    <w:basedOn w:val="a0"/>
    <w:uiPriority w:val="99"/>
    <w:qFormat/>
    <w:pPr>
      <w:widowControl w:val="0"/>
      <w:ind w:firstLine="567"/>
      <w:jc w:val="both"/>
    </w:pPr>
    <w:rPr>
      <w:sz w:val="28"/>
      <w:lang w:eastAsia="ar-SA"/>
    </w:rPr>
  </w:style>
  <w:style w:type="paragraph" w:customStyle="1" w:styleId="121">
    <w:name w:val="Знак1 Знак Знак2"/>
    <w:basedOn w:val="a0"/>
    <w:uiPriority w:val="99"/>
    <w:qFormat/>
    <w:rPr>
      <w:rFonts w:ascii="Verdana" w:hAnsi="Verdana" w:cs="Verdana"/>
      <w:lang w:val="en-US" w:eastAsia="en-US"/>
    </w:rPr>
  </w:style>
  <w:style w:type="paragraph" w:customStyle="1" w:styleId="2112">
    <w:name w:val="Знак2 Знак Знак1 Знак1 Знак Знак Знак Знак Знак Знак Знак Знак Знак Знак Знак Знак Знак Знак2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Знак Знак22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4">
    <w:name w:val="Знак11"/>
    <w:basedOn w:val="a0"/>
    <w:uiPriority w:val="99"/>
    <w:qFormat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15">
    <w:name w:val="Обычный11"/>
    <w:uiPriority w:val="99"/>
    <w:qFormat/>
    <w:pPr>
      <w:spacing w:after="200" w:line="276" w:lineRule="auto"/>
    </w:pPr>
    <w:rPr>
      <w:rFonts w:ascii="Courier New" w:hAnsi="Courier New"/>
      <w:sz w:val="22"/>
      <w:szCs w:val="22"/>
      <w:lang w:eastAsia="ru-RU"/>
    </w:rPr>
  </w:style>
  <w:style w:type="paragraph" w:customStyle="1" w:styleId="2e">
    <w:name w:val="Знак Знак Знак Знак Знак Знак Знак2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0">
    <w:name w:val="Без интервала1"/>
    <w:qFormat/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16"/>
    <w:uiPriority w:val="99"/>
    <w:rPr>
      <w:sz w:val="28"/>
    </w:rPr>
  </w:style>
  <w:style w:type="paragraph" w:customStyle="1" w:styleId="116">
    <w:name w:val="Абзац списка11"/>
    <w:basedOn w:val="a0"/>
    <w:link w:val="ListParagraphChar"/>
    <w:uiPriority w:val="99"/>
    <w:qFormat/>
    <w:pPr>
      <w:ind w:left="720"/>
      <w:contextualSpacing/>
    </w:pPr>
    <w:rPr>
      <w:rFonts w:eastAsia="Times New Roman"/>
      <w:sz w:val="28"/>
      <w:szCs w:val="20"/>
      <w:lang w:val="en-US" w:eastAsia="en-US"/>
    </w:rPr>
  </w:style>
  <w:style w:type="paragraph" w:customStyle="1" w:styleId="ConsPlusCell">
    <w:name w:val="ConsPlusCell"/>
    <w:uiPriority w:val="99"/>
    <w:qFormat/>
    <w:pPr>
      <w:widowControl w:val="0"/>
    </w:pPr>
    <w:rPr>
      <w:rFonts w:ascii="Calibri" w:hAnsi="Calibri" w:cs="Calibri"/>
      <w:sz w:val="22"/>
      <w:szCs w:val="22"/>
      <w:lang w:eastAsia="ru-RU"/>
    </w:rPr>
  </w:style>
  <w:style w:type="paragraph" w:customStyle="1" w:styleId="37">
    <w:name w:val="Основной текст3"/>
    <w:basedOn w:val="a0"/>
    <w:qFormat/>
    <w:pPr>
      <w:shd w:val="clear" w:color="auto" w:fill="FFFFFF"/>
      <w:spacing w:line="276" w:lineRule="auto"/>
      <w:ind w:firstLine="567"/>
      <w:jc w:val="both"/>
    </w:pPr>
    <w:rPr>
      <w:sz w:val="25"/>
      <w:szCs w:val="25"/>
      <w:lang w:eastAsia="ar-SA"/>
    </w:rPr>
  </w:style>
  <w:style w:type="character" w:customStyle="1" w:styleId="Bodytext2">
    <w:name w:val="Body text (2)_"/>
    <w:link w:val="Bodytext20"/>
    <w:rPr>
      <w:sz w:val="28"/>
      <w:shd w:val="clear" w:color="auto" w:fill="FFFFFF"/>
    </w:rPr>
  </w:style>
  <w:style w:type="paragraph" w:customStyle="1" w:styleId="Bodytext20">
    <w:name w:val="Body text (2)"/>
    <w:basedOn w:val="a0"/>
    <w:link w:val="Bodytext2"/>
    <w:qFormat/>
    <w:pPr>
      <w:widowControl w:val="0"/>
      <w:shd w:val="clear" w:color="auto" w:fill="FFFFFF"/>
      <w:spacing w:line="317" w:lineRule="exact"/>
      <w:ind w:firstLine="600"/>
      <w:jc w:val="both"/>
    </w:pPr>
    <w:rPr>
      <w:rFonts w:eastAsia="Times New Roman"/>
      <w:sz w:val="28"/>
      <w:szCs w:val="20"/>
      <w:lang w:val="en-US" w:eastAsia="en-US"/>
    </w:rPr>
  </w:style>
  <w:style w:type="paragraph" w:customStyle="1" w:styleId="732">
    <w:name w:val="ГОСТ 7.32"/>
    <w:basedOn w:val="a0"/>
    <w:uiPriority w:val="99"/>
    <w:qFormat/>
    <w:pPr>
      <w:spacing w:line="360" w:lineRule="auto"/>
      <w:ind w:firstLine="567"/>
      <w:jc w:val="both"/>
    </w:pPr>
    <w:rPr>
      <w:szCs w:val="28"/>
      <w:lang w:eastAsia="en-US"/>
    </w:rPr>
  </w:style>
  <w:style w:type="paragraph" w:customStyle="1" w:styleId="s1">
    <w:name w:val="s_1"/>
    <w:basedOn w:val="a0"/>
    <w:qFormat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BodyTextIndent21">
    <w:name w:val="Body Text Indent 21"/>
    <w:basedOn w:val="a0"/>
    <w:uiPriority w:val="99"/>
    <w:qFormat/>
    <w:pPr>
      <w:ind w:firstLine="709"/>
      <w:jc w:val="both"/>
    </w:pPr>
    <w:rPr>
      <w:sz w:val="28"/>
    </w:rPr>
  </w:style>
  <w:style w:type="paragraph" w:customStyle="1" w:styleId="BodyTextIndent31">
    <w:name w:val="Body Text Indent 31"/>
    <w:basedOn w:val="a0"/>
    <w:uiPriority w:val="99"/>
    <w:qFormat/>
    <w:pPr>
      <w:widowControl w:val="0"/>
      <w:spacing w:line="259" w:lineRule="auto"/>
      <w:ind w:right="400" w:firstLine="851"/>
      <w:jc w:val="both"/>
    </w:pPr>
    <w:rPr>
      <w:sz w:val="22"/>
    </w:rPr>
  </w:style>
  <w:style w:type="paragraph" w:customStyle="1" w:styleId="Normal1">
    <w:name w:val="Normal1"/>
    <w:uiPriority w:val="99"/>
    <w:qFormat/>
    <w:rPr>
      <w:sz w:val="24"/>
      <w:lang w:eastAsia="ar-SA"/>
    </w:rPr>
  </w:style>
  <w:style w:type="paragraph" w:customStyle="1" w:styleId="122">
    <w:name w:val="Знак12"/>
    <w:basedOn w:val="a0"/>
    <w:uiPriority w:val="99"/>
    <w:qFormat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17">
    <w:name w:val="Список11"/>
    <w:basedOn w:val="a0"/>
    <w:uiPriority w:val="99"/>
    <w:qFormat/>
    <w:pPr>
      <w:spacing w:before="100" w:beforeAutospacing="1" w:after="100" w:afterAutospacing="1"/>
    </w:pPr>
    <w:rPr>
      <w:rFonts w:ascii="Arial" w:hAnsi="Arial" w:cs="Arial"/>
      <w:i/>
      <w:iCs/>
      <w:sz w:val="26"/>
      <w:szCs w:val="26"/>
    </w:rPr>
  </w:style>
  <w:style w:type="paragraph" w:customStyle="1" w:styleId="ListParagraph1">
    <w:name w:val="List Paragraph1"/>
    <w:basedOn w:val="a0"/>
    <w:uiPriority w:val="99"/>
    <w:qFormat/>
    <w:pPr>
      <w:ind w:left="720"/>
      <w:contextualSpacing/>
    </w:pPr>
    <w:rPr>
      <w:sz w:val="28"/>
    </w:rPr>
  </w:style>
  <w:style w:type="paragraph" w:customStyle="1" w:styleId="512">
    <w:name w:val="Знак5 Знак Знак Знак Знак Знак1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8">
    <w:name w:val="Знак1 Знак Знак1"/>
    <w:basedOn w:val="a0"/>
    <w:uiPriority w:val="99"/>
    <w:qFormat/>
    <w:rPr>
      <w:rFonts w:ascii="Verdana" w:hAnsi="Verdana" w:cs="Verdana"/>
      <w:lang w:val="en-US" w:eastAsia="en-US"/>
    </w:rPr>
  </w:style>
  <w:style w:type="paragraph" w:customStyle="1" w:styleId="21110">
    <w:name w:val="Знак2 Знак Знак1 Знак1 Знак Знак Знак Знак Знак Знак Знак Знак Знак Знак Знак Знак Знак Знак1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Знак Знак21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1">
    <w:name w:val="Знак Знак Знак Знак Знак Знак Знак1"/>
    <w:basedOn w:val="a0"/>
    <w:uiPriority w:val="99"/>
    <w:qFormat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Spacing1">
    <w:name w:val="No Spacing1"/>
    <w:uiPriority w:val="99"/>
    <w:qFormat/>
    <w:rPr>
      <w:rFonts w:ascii="Calibri" w:hAnsi="Calibri"/>
      <w:sz w:val="22"/>
      <w:szCs w:val="22"/>
      <w:lang w:eastAsia="en-US"/>
    </w:rPr>
  </w:style>
  <w:style w:type="paragraph" w:customStyle="1" w:styleId="119">
    <w:name w:val="Без интервала11"/>
    <w:uiPriority w:val="99"/>
    <w:qFormat/>
    <w:rPr>
      <w:rFonts w:ascii="Calibri" w:hAnsi="Calibri"/>
      <w:sz w:val="22"/>
      <w:szCs w:val="22"/>
      <w:lang w:eastAsia="en-US"/>
    </w:rPr>
  </w:style>
  <w:style w:type="paragraph" w:customStyle="1" w:styleId="style20">
    <w:name w:val="style2"/>
    <w:basedOn w:val="a0"/>
    <w:uiPriority w:val="99"/>
    <w:qFormat/>
    <w:pPr>
      <w:spacing w:before="100" w:beforeAutospacing="1" w:after="100" w:afterAutospacing="1"/>
    </w:pPr>
  </w:style>
  <w:style w:type="paragraph" w:customStyle="1" w:styleId="Style8">
    <w:name w:val="Style8"/>
    <w:basedOn w:val="a0"/>
    <w:uiPriority w:val="99"/>
    <w:qFormat/>
    <w:pPr>
      <w:widowControl w:val="0"/>
      <w:spacing w:line="276" w:lineRule="exact"/>
      <w:ind w:hanging="346"/>
      <w:jc w:val="both"/>
    </w:pPr>
    <w:rPr>
      <w:rFonts w:ascii="Georgia" w:hAnsi="Georgia"/>
    </w:rPr>
  </w:style>
  <w:style w:type="paragraph" w:customStyle="1" w:styleId="left">
    <w:name w:val="left"/>
    <w:basedOn w:val="a0"/>
    <w:qFormat/>
    <w:pPr>
      <w:spacing w:before="100" w:beforeAutospacing="1" w:after="100" w:afterAutospacing="1"/>
    </w:pPr>
  </w:style>
  <w:style w:type="paragraph" w:customStyle="1" w:styleId="right">
    <w:name w:val="right"/>
    <w:basedOn w:val="a0"/>
    <w:qFormat/>
    <w:pPr>
      <w:spacing w:before="100" w:beforeAutospacing="1" w:after="100" w:afterAutospacing="1"/>
    </w:pPr>
  </w:style>
  <w:style w:type="paragraph" w:customStyle="1" w:styleId="2f">
    <w:name w:val="Список2"/>
    <w:basedOn w:val="a0"/>
    <w:uiPriority w:val="99"/>
    <w:qFormat/>
    <w:pPr>
      <w:spacing w:before="100" w:beforeAutospacing="1" w:after="100" w:afterAutospacing="1"/>
    </w:pPr>
    <w:rPr>
      <w:rFonts w:ascii="Arial" w:hAnsi="Arial" w:cs="Arial"/>
      <w:i/>
      <w:iCs/>
      <w:sz w:val="26"/>
      <w:szCs w:val="26"/>
    </w:rPr>
  </w:style>
  <w:style w:type="paragraph" w:customStyle="1" w:styleId="Style15">
    <w:name w:val="Style15"/>
    <w:basedOn w:val="a0"/>
    <w:uiPriority w:val="99"/>
    <w:qFormat/>
    <w:pPr>
      <w:widowControl w:val="0"/>
      <w:spacing w:line="450" w:lineRule="exact"/>
      <w:ind w:firstLine="554"/>
      <w:jc w:val="both"/>
    </w:pPr>
    <w:rPr>
      <w:rFonts w:ascii="Microsoft Sans Serif" w:hAnsi="Microsoft Sans Serif" w:cs="Microsoft Sans Serif"/>
    </w:rPr>
  </w:style>
  <w:style w:type="paragraph" w:customStyle="1" w:styleId="Style21">
    <w:name w:val="Style21"/>
    <w:basedOn w:val="a0"/>
    <w:uiPriority w:val="99"/>
    <w:qFormat/>
    <w:pPr>
      <w:widowControl w:val="0"/>
      <w:spacing w:line="341" w:lineRule="exact"/>
      <w:ind w:firstLine="542"/>
      <w:jc w:val="both"/>
    </w:pPr>
    <w:rPr>
      <w:rFonts w:ascii="Calibri" w:hAnsi="Calibri"/>
    </w:rPr>
  </w:style>
  <w:style w:type="paragraph" w:customStyle="1" w:styleId="Style13">
    <w:name w:val="Style13"/>
    <w:basedOn w:val="a0"/>
    <w:uiPriority w:val="99"/>
    <w:qFormat/>
    <w:pPr>
      <w:widowControl w:val="0"/>
      <w:spacing w:line="486" w:lineRule="exact"/>
      <w:ind w:firstLine="706"/>
      <w:jc w:val="both"/>
    </w:pPr>
    <w:rPr>
      <w:rFonts w:ascii="Franklin Gothic Medium Cond" w:hAnsi="Franklin Gothic Medium Cond"/>
    </w:rPr>
  </w:style>
  <w:style w:type="paragraph" w:customStyle="1" w:styleId="Style14">
    <w:name w:val="Style14"/>
    <w:basedOn w:val="a0"/>
    <w:uiPriority w:val="99"/>
    <w:qFormat/>
    <w:pPr>
      <w:widowControl w:val="0"/>
    </w:pPr>
    <w:rPr>
      <w:rFonts w:ascii="Franklin Gothic Medium Cond" w:hAnsi="Franklin Gothic Medium Cond"/>
    </w:rPr>
  </w:style>
  <w:style w:type="paragraph" w:customStyle="1" w:styleId="38">
    <w:name w:val="Заголовок3"/>
    <w:uiPriority w:val="99"/>
    <w:qFormat/>
    <w:pPr>
      <w:widowControl w:val="0"/>
    </w:pPr>
    <w:rPr>
      <w:b/>
      <w:bCs/>
      <w:color w:val="000000"/>
      <w:sz w:val="28"/>
      <w:szCs w:val="28"/>
      <w:lang w:eastAsia="ru-RU"/>
    </w:rPr>
  </w:style>
  <w:style w:type="paragraph" w:customStyle="1" w:styleId="msonormalcxspmiddlecxspmiddle">
    <w:name w:val="msonormalcxspmiddlecxspmiddle"/>
    <w:basedOn w:val="a0"/>
    <w:qFormat/>
    <w:pPr>
      <w:spacing w:before="100" w:beforeAutospacing="1" w:after="100" w:afterAutospacing="1"/>
    </w:pPr>
  </w:style>
  <w:style w:type="paragraph" w:customStyle="1" w:styleId="msonormalcxspmiddlecxspmiddlecxsplast">
    <w:name w:val="msonormalcxspmiddlecxspmiddlecxsplast"/>
    <w:basedOn w:val="a0"/>
    <w:qFormat/>
    <w:pPr>
      <w:spacing w:before="100" w:beforeAutospacing="1" w:after="100" w:afterAutospacing="1"/>
    </w:pPr>
  </w:style>
  <w:style w:type="paragraph" w:customStyle="1" w:styleId="2f0">
    <w:name w:val="Без интервала2"/>
    <w:qFormat/>
    <w:rPr>
      <w:rFonts w:ascii="Calibri" w:hAnsi="Calibri" w:cs="Calibri"/>
      <w:sz w:val="22"/>
      <w:szCs w:val="22"/>
      <w:lang w:eastAsia="en-US"/>
    </w:rPr>
  </w:style>
  <w:style w:type="paragraph" w:customStyle="1" w:styleId="Style27">
    <w:name w:val="Style27"/>
    <w:basedOn w:val="a0"/>
    <w:uiPriority w:val="99"/>
    <w:qFormat/>
    <w:pPr>
      <w:widowControl w:val="0"/>
      <w:spacing w:line="301" w:lineRule="exact"/>
      <w:ind w:firstLine="710"/>
      <w:jc w:val="both"/>
    </w:pPr>
  </w:style>
  <w:style w:type="character" w:customStyle="1" w:styleId="-FNCiaeniinee-FNSUPERS1ReferencianotaalpiefrUsedbyWordforHelpfootnotesymbols">
    <w:name w:val="Знак сноски;Знак сноски-FN;Ciae niinee-FN;SUPERS;Знак сноски 1;Referencia nota al pie;fr;Used by Word for Help footnote symbols"/>
    <w:uiPriority w:val="99"/>
    <w:unhideWhenUsed/>
    <w:rPr>
      <w:rFonts w:ascii="Times New Roman" w:hAnsi="Times New Roman" w:cs="Times New Roman"/>
      <w:vertAlign w:val="superscript"/>
      <w:lang w:val="ru-RU"/>
    </w:rPr>
  </w:style>
  <w:style w:type="character" w:styleId="afffd">
    <w:name w:val="page number"/>
    <w:uiPriority w:val="99"/>
    <w:unhideWhenUsed/>
    <w:rPr>
      <w:rFonts w:ascii="Times New Roman" w:hAnsi="Times New Roman" w:cs="Times New Roman"/>
    </w:rPr>
  </w:style>
  <w:style w:type="character" w:customStyle="1" w:styleId="710">
    <w:name w:val="Заголовок 7 Знак1"/>
    <w:uiPriority w:val="99"/>
    <w:semiHidden/>
    <w:rPr>
      <w:rFonts w:ascii="Cambria" w:eastAsia="Times New Roman" w:hAnsi="Cambria" w:cs="Times New Roman"/>
      <w:i/>
      <w:iCs/>
      <w:color w:val="243F60"/>
    </w:rPr>
  </w:style>
  <w:style w:type="character" w:customStyle="1" w:styleId="810">
    <w:name w:val="Заголовок 8 Знак1"/>
    <w:uiPriority w:val="99"/>
    <w:semiHidden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10">
    <w:name w:val="Заголовок 9 Знак1"/>
    <w:uiPriority w:val="99"/>
    <w:semiHidden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Heading1Char">
    <w:name w:val="Heading 1 Char"/>
    <w:link w:val="110"/>
    <w:uiPriority w:val="99"/>
    <w:rPr>
      <w:rFonts w:ascii="Times New Roman" w:hAnsi="Times New Roman" w:cs="Times New Roman"/>
      <w:sz w:val="28"/>
      <w:lang w:val="ru-RU" w:eastAsia="ru-RU"/>
    </w:rPr>
  </w:style>
  <w:style w:type="character" w:customStyle="1" w:styleId="Heading2Char3Char">
    <w:name w:val="Heading 2 Char;Знак3 Char"/>
    <w:uiPriority w:val="99"/>
    <w:semiHidden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310"/>
    <w:uiPriority w:val="99"/>
    <w:rPr>
      <w:rFonts w:ascii="Arial" w:hAnsi="Arial" w:cs="Times New Roman"/>
      <w:b/>
      <w:sz w:val="26"/>
      <w:lang w:val="ru-RU" w:eastAsia="ru-RU"/>
    </w:rPr>
  </w:style>
  <w:style w:type="character" w:customStyle="1" w:styleId="Heading4Char">
    <w:name w:val="Heading 4 Char"/>
    <w:link w:val="410"/>
    <w:uiPriority w:val="99"/>
    <w:rPr>
      <w:rFonts w:ascii="Times New Roman" w:hAnsi="Times New Roman" w:cs="Times New Roman"/>
      <w:b/>
      <w:sz w:val="28"/>
      <w:lang w:val="ru-RU" w:eastAsia="ru-RU"/>
    </w:rPr>
  </w:style>
  <w:style w:type="character" w:customStyle="1" w:styleId="Heading5Char">
    <w:name w:val="Heading 5 Char"/>
    <w:link w:val="510"/>
    <w:uiPriority w:val="99"/>
    <w:rPr>
      <w:rFonts w:ascii="Times New Roman" w:hAnsi="Times New Roman" w:cs="Times New Roman"/>
      <w:b/>
      <w:i/>
      <w:sz w:val="26"/>
      <w:lang w:val="ru-RU" w:eastAsia="ru-RU"/>
    </w:rPr>
  </w:style>
  <w:style w:type="character" w:customStyle="1" w:styleId="Heading6Char">
    <w:name w:val="Heading 6 Char"/>
    <w:link w:val="61"/>
    <w:uiPriority w:val="99"/>
    <w:rPr>
      <w:rFonts w:ascii="Times New Roman" w:hAnsi="Times New Roman" w:cs="Times New Roman"/>
      <w:b/>
      <w:sz w:val="28"/>
      <w:lang w:val="ru-RU" w:eastAsia="ru-RU"/>
    </w:rPr>
  </w:style>
  <w:style w:type="character" w:customStyle="1" w:styleId="Heading7Char">
    <w:name w:val="Heading 7 Char"/>
    <w:link w:val="71"/>
    <w:uiPriority w:val="99"/>
    <w:rPr>
      <w:rFonts w:ascii="Times New Roman" w:hAnsi="Times New Roman" w:cs="Times New Roman"/>
      <w:sz w:val="28"/>
      <w:lang w:val="ru-RU" w:eastAsia="ru-RU"/>
    </w:rPr>
  </w:style>
  <w:style w:type="character" w:customStyle="1" w:styleId="Heading8Char">
    <w:name w:val="Heading 8 Char"/>
    <w:link w:val="81"/>
    <w:uiPriority w:val="99"/>
    <w:rPr>
      <w:rFonts w:ascii="Times New Roman" w:hAnsi="Times New Roman" w:cs="Times New Roman"/>
      <w:i/>
      <w:sz w:val="28"/>
      <w:u w:val="single"/>
      <w:lang w:val="ru-RU" w:eastAsia="ru-RU"/>
    </w:rPr>
  </w:style>
  <w:style w:type="character" w:customStyle="1" w:styleId="1f2">
    <w:name w:val="Основной текст с отступом Знак1"/>
    <w:basedOn w:val="a1"/>
    <w:uiPriority w:val="99"/>
    <w:semiHidden/>
  </w:style>
  <w:style w:type="character" w:customStyle="1" w:styleId="BodyTextIndentChar">
    <w:name w:val="Body Text Indent Char"/>
    <w:uiPriority w:val="99"/>
    <w:rPr>
      <w:rFonts w:ascii="Times New Roman" w:hAnsi="Times New Roman" w:cs="Times New Roman"/>
      <w:sz w:val="24"/>
      <w:lang w:val="ru-RU" w:eastAsia="ru-RU"/>
    </w:rPr>
  </w:style>
  <w:style w:type="character" w:customStyle="1" w:styleId="215">
    <w:name w:val="Основной текст с отступом 2 Знак1"/>
    <w:basedOn w:val="a1"/>
    <w:uiPriority w:val="99"/>
    <w:semiHidden/>
  </w:style>
  <w:style w:type="character" w:customStyle="1" w:styleId="BodyTextIndent2Char">
    <w:name w:val="Body Text Indent 2 Char"/>
    <w:uiPriority w:val="99"/>
    <w:semiHidden/>
    <w:rPr>
      <w:rFonts w:ascii="Calibri" w:hAnsi="Calibri" w:cs="Times New Roman"/>
      <w:sz w:val="22"/>
      <w:lang w:val="ru-RU" w:eastAsia="en-US"/>
    </w:rPr>
  </w:style>
  <w:style w:type="character" w:customStyle="1" w:styleId="1f3">
    <w:name w:val="Верхний колонтитул Знак1"/>
    <w:basedOn w:val="a1"/>
    <w:uiPriority w:val="99"/>
    <w:semiHidden/>
  </w:style>
  <w:style w:type="character" w:customStyle="1" w:styleId="HeaderChar">
    <w:name w:val="Header Char"/>
    <w:link w:val="12"/>
    <w:uiPriority w:val="99"/>
    <w:rPr>
      <w:rFonts w:ascii="Calibri" w:hAnsi="Calibri" w:cs="Times New Roman"/>
      <w:sz w:val="22"/>
      <w:lang w:val="ru-RU" w:eastAsia="en-US"/>
    </w:rPr>
  </w:style>
  <w:style w:type="character" w:customStyle="1" w:styleId="1f4">
    <w:name w:val="Нижний колонтитул Знак1"/>
    <w:basedOn w:val="a1"/>
    <w:uiPriority w:val="99"/>
    <w:semiHidden/>
  </w:style>
  <w:style w:type="character" w:customStyle="1" w:styleId="FooterChar">
    <w:name w:val="Footer Char"/>
    <w:uiPriority w:val="99"/>
    <w:rPr>
      <w:rFonts w:ascii="Times New Roman" w:hAnsi="Times New Roman" w:cs="Times New Roman"/>
      <w:sz w:val="24"/>
      <w:lang w:val="ru-RU" w:eastAsia="ru-RU"/>
    </w:rPr>
  </w:style>
  <w:style w:type="character" w:customStyle="1" w:styleId="1f5">
    <w:name w:val="Основной текст Знак1"/>
    <w:basedOn w:val="a1"/>
    <w:uiPriority w:val="99"/>
    <w:semiHidden/>
  </w:style>
  <w:style w:type="character" w:customStyle="1" w:styleId="BodyTextChar">
    <w:name w:val="Body Text Char"/>
    <w:uiPriority w:val="99"/>
    <w:rPr>
      <w:rFonts w:ascii="Calibri" w:hAnsi="Calibri" w:cs="Times New Roman"/>
      <w:sz w:val="22"/>
      <w:lang w:val="ru-RU" w:eastAsia="en-US"/>
    </w:rPr>
  </w:style>
  <w:style w:type="character" w:customStyle="1" w:styleId="buk1">
    <w:name w:val="buk1"/>
    <w:uiPriority w:val="99"/>
    <w:rPr>
      <w:rFonts w:ascii="Arial" w:hAnsi="Arial" w:cs="Arial"/>
      <w:b/>
      <w:color w:val="FFFFFF"/>
      <w:sz w:val="89"/>
      <w:shd w:val="clear" w:color="auto" w:fill="C0C0C0"/>
    </w:rPr>
  </w:style>
  <w:style w:type="character" w:customStyle="1" w:styleId="afffe">
    <w:name w:val="Цветовое выделение"/>
    <w:uiPriority w:val="99"/>
    <w:rPr>
      <w:b/>
      <w:color w:val="000080"/>
      <w:sz w:val="20"/>
    </w:rPr>
  </w:style>
  <w:style w:type="character" w:customStyle="1" w:styleId="affff">
    <w:name w:val="Гипертекстовая ссылка"/>
    <w:uiPriority w:val="99"/>
    <w:rPr>
      <w:b/>
      <w:color w:val="008000"/>
      <w:sz w:val="20"/>
      <w:u w:val="single"/>
    </w:rPr>
  </w:style>
  <w:style w:type="character" w:customStyle="1" w:styleId="313">
    <w:name w:val="Основной текст с отступом 3 Знак1"/>
    <w:uiPriority w:val="99"/>
    <w:semiHidden/>
    <w:rPr>
      <w:sz w:val="16"/>
      <w:szCs w:val="16"/>
    </w:rPr>
  </w:style>
  <w:style w:type="character" w:customStyle="1" w:styleId="BodyTextIndent3Char">
    <w:name w:val="Body Text Indent 3 Char"/>
    <w:uiPriority w:val="99"/>
    <w:rPr>
      <w:rFonts w:ascii="Times New Roman" w:hAnsi="Times New Roman" w:cs="Times New Roman"/>
      <w:sz w:val="16"/>
      <w:lang w:val="ru-RU" w:eastAsia="ru-RU"/>
    </w:rPr>
  </w:style>
  <w:style w:type="character" w:customStyle="1" w:styleId="hl21">
    <w:name w:val="hl21"/>
    <w:uiPriority w:val="99"/>
    <w:rPr>
      <w:b/>
      <w:sz w:val="24"/>
    </w:rPr>
  </w:style>
  <w:style w:type="paragraph" w:styleId="28">
    <w:name w:val="Body Text 2"/>
    <w:basedOn w:val="a0"/>
    <w:link w:val="27"/>
    <w:uiPriority w:val="99"/>
    <w:unhideWhenUsed/>
    <w:pPr>
      <w:spacing w:after="120" w:line="480" w:lineRule="auto"/>
    </w:pPr>
  </w:style>
  <w:style w:type="character" w:customStyle="1" w:styleId="216">
    <w:name w:val="Основной текст 2 Знак1"/>
    <w:basedOn w:val="a1"/>
    <w:uiPriority w:val="99"/>
  </w:style>
  <w:style w:type="character" w:customStyle="1" w:styleId="BodyText2Char">
    <w:name w:val="Body Text 2 Char"/>
    <w:uiPriority w:val="99"/>
    <w:rPr>
      <w:rFonts w:ascii="Times New Roman" w:hAnsi="Times New Roman" w:cs="Times New Roman"/>
      <w:lang w:val="ru-RU" w:eastAsia="ru-RU"/>
    </w:rPr>
  </w:style>
  <w:style w:type="paragraph" w:styleId="aff8">
    <w:name w:val="Plain Text"/>
    <w:basedOn w:val="a0"/>
    <w:link w:val="aff7"/>
    <w:unhideWhenUsed/>
    <w:rPr>
      <w:rFonts w:ascii="Courier New" w:eastAsia="Times New Roman" w:hAnsi="Courier New"/>
      <w:b/>
      <w:sz w:val="20"/>
      <w:szCs w:val="20"/>
      <w:lang w:val="en-US" w:eastAsia="en-US"/>
    </w:rPr>
  </w:style>
  <w:style w:type="character" w:customStyle="1" w:styleId="1f6">
    <w:name w:val="Текст Знак1"/>
    <w:uiPriority w:val="99"/>
    <w:rPr>
      <w:rFonts w:ascii="Courier New" w:hAnsi="Courier New" w:cs="Courier New"/>
    </w:rPr>
  </w:style>
  <w:style w:type="character" w:customStyle="1" w:styleId="PlainTextChar">
    <w:name w:val="Plain Text Char"/>
    <w:uiPriority w:val="99"/>
    <w:semiHidden/>
    <w:rPr>
      <w:rFonts w:ascii="Courier New" w:hAnsi="Courier New" w:cs="Times New Roman"/>
      <w:lang w:val="ru-RU" w:eastAsia="ru-RU"/>
    </w:rPr>
  </w:style>
  <w:style w:type="character" w:customStyle="1" w:styleId="1f7">
    <w:name w:val="Название Знак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f8">
    <w:name w:val="Заголовок Знак1"/>
    <w:rPr>
      <w:rFonts w:ascii="Cambria" w:eastAsia="Times New Roman" w:hAnsi="Cambria" w:cs="Times New Roman"/>
      <w:spacing w:val="-10"/>
      <w:sz w:val="56"/>
      <w:szCs w:val="56"/>
    </w:rPr>
  </w:style>
  <w:style w:type="character" w:customStyle="1" w:styleId="TitleChar">
    <w:name w:val="Title Char"/>
    <w:uiPriority w:val="99"/>
    <w:rPr>
      <w:rFonts w:ascii="Times New Roman" w:hAnsi="Times New Roman" w:cs="Times New Roman"/>
      <w:sz w:val="28"/>
      <w:lang w:val="ru-RU" w:eastAsia="ru-RU"/>
    </w:rPr>
  </w:style>
  <w:style w:type="paragraph" w:styleId="36">
    <w:name w:val="Body Text 3"/>
    <w:basedOn w:val="a0"/>
    <w:link w:val="35"/>
    <w:uiPriority w:val="99"/>
    <w:unhideWhenUsed/>
    <w:pPr>
      <w:spacing w:after="120"/>
    </w:pPr>
    <w:rPr>
      <w:rFonts w:eastAsia="Times New Roman"/>
      <w:sz w:val="16"/>
      <w:szCs w:val="20"/>
      <w:lang w:val="en-US" w:eastAsia="en-US"/>
    </w:rPr>
  </w:style>
  <w:style w:type="character" w:customStyle="1" w:styleId="314">
    <w:name w:val="Основной текст 3 Знак1"/>
    <w:uiPriority w:val="99"/>
    <w:rPr>
      <w:sz w:val="16"/>
      <w:szCs w:val="16"/>
    </w:rPr>
  </w:style>
  <w:style w:type="character" w:customStyle="1" w:styleId="BodyText3Char">
    <w:name w:val="Body Text 3 Char"/>
    <w:uiPriority w:val="99"/>
    <w:rPr>
      <w:rFonts w:ascii="Times New Roman" w:hAnsi="Times New Roman" w:cs="Times New Roman"/>
      <w:sz w:val="16"/>
      <w:lang w:val="ru-RU" w:eastAsia="ru-RU"/>
    </w:rPr>
  </w:style>
  <w:style w:type="character" w:customStyle="1" w:styleId="FootnoteTextCharTableFootnotelastCharCharChar1TextodenotaalpieCharCharTextodenotaalpieChar1CharCharCharSchriftart9ptCharSchriftart10ptCharSchriftart8ptCharfnChar">
    <w:name w:val="Footnote Text Char;Table_Footnote_last Char;Текст сноски Знак Знак Char Char1;Texto de nota al pie Char Char;Texto de nota al pie Char1;Текст сноски Знак Знак Char Char Char;Schriftart: 9 pt Char;Schriftart: 10 pt Char;Schriftart: 8 pt Char;fn Char"/>
    <w:uiPriority w:val="99"/>
    <w:semiHidden/>
    <w:rPr>
      <w:rFonts w:ascii="Arial" w:hAnsi="Arial" w:cs="Times New Roman"/>
      <w:spacing w:val="-5"/>
      <w:lang w:val="ru-RU" w:eastAsia="en-US"/>
    </w:rPr>
  </w:style>
  <w:style w:type="character" w:customStyle="1" w:styleId="newstext">
    <w:name w:val="news_text"/>
    <w:uiPriority w:val="99"/>
    <w:rPr>
      <w:rFonts w:ascii="Verdana" w:hAnsi="Verdana"/>
      <w:color w:val="000000"/>
      <w:sz w:val="17"/>
      <w:shd w:val="clear" w:color="auto" w:fill="FFFFFF"/>
    </w:rPr>
  </w:style>
  <w:style w:type="character" w:customStyle="1" w:styleId="style210">
    <w:name w:val="style21"/>
    <w:uiPriority w:val="99"/>
    <w:rPr>
      <w:b/>
      <w:color w:val="006CE4"/>
      <w:sz w:val="27"/>
    </w:rPr>
  </w:style>
  <w:style w:type="character" w:customStyle="1" w:styleId="grame">
    <w:name w:val="grame"/>
    <w:uiPriority w:val="99"/>
  </w:style>
  <w:style w:type="character" w:customStyle="1" w:styleId="1f9">
    <w:name w:val="Текст выноски Знак1"/>
    <w:uiPriority w:val="99"/>
    <w:semiHidden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Pr>
      <w:rFonts w:ascii="Tahoma" w:hAnsi="Tahoma" w:cs="Times New Roman"/>
      <w:sz w:val="16"/>
      <w:lang w:val="ru-RU" w:eastAsia="ru-RU"/>
    </w:rPr>
  </w:style>
  <w:style w:type="character" w:customStyle="1" w:styleId="f">
    <w:name w:val="f"/>
    <w:uiPriority w:val="99"/>
  </w:style>
  <w:style w:type="character" w:customStyle="1" w:styleId="1fa">
    <w:name w:val="Знак1"/>
    <w:uiPriority w:val="99"/>
    <w:rPr>
      <w:sz w:val="24"/>
      <w:lang w:val="ru-RU" w:eastAsia="ru-RU"/>
    </w:rPr>
  </w:style>
  <w:style w:type="character" w:customStyle="1" w:styleId="gen1">
    <w:name w:val="gen1"/>
    <w:uiPriority w:val="99"/>
    <w:rPr>
      <w:color w:val="000000"/>
      <w:sz w:val="18"/>
    </w:rPr>
  </w:style>
  <w:style w:type="character" w:customStyle="1" w:styleId="spelle">
    <w:name w:val="spelle"/>
    <w:uiPriority w:val="99"/>
  </w:style>
  <w:style w:type="character" w:customStyle="1" w:styleId="paragraph">
    <w:name w:val="paragraph"/>
    <w:uiPriority w:val="99"/>
  </w:style>
  <w:style w:type="character" w:customStyle="1" w:styleId="textgray">
    <w:name w:val="text_gray"/>
    <w:uiPriority w:val="99"/>
    <w:rPr>
      <w:rFonts w:ascii="Verdana" w:hAnsi="Verdana"/>
      <w:color w:val="777777"/>
      <w:sz w:val="21"/>
      <w:u w:val="none"/>
    </w:rPr>
  </w:style>
  <w:style w:type="character" w:customStyle="1" w:styleId="symbols">
    <w:name w:val="symbols"/>
    <w:uiPriority w:val="99"/>
  </w:style>
  <w:style w:type="character" w:customStyle="1" w:styleId="articleseparator1">
    <w:name w:val="article_separator1"/>
    <w:uiPriority w:val="99"/>
  </w:style>
  <w:style w:type="character" w:customStyle="1" w:styleId="FontStyle11">
    <w:name w:val="Font Style11"/>
    <w:uiPriority w:val="99"/>
    <w:rPr>
      <w:rFonts w:ascii="Times New Roman" w:hAnsi="Times New Roman" w:cs="Times New Roman"/>
      <w:b/>
      <w:sz w:val="26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sz w:val="28"/>
    </w:rPr>
  </w:style>
  <w:style w:type="character" w:customStyle="1" w:styleId="FontStyle13">
    <w:name w:val="Font Style13"/>
    <w:uiPriority w:val="99"/>
    <w:rPr>
      <w:rFonts w:ascii="Times New Roman" w:hAnsi="Times New Roman" w:cs="Times New Roman"/>
      <w:i/>
      <w:sz w:val="28"/>
    </w:rPr>
  </w:style>
  <w:style w:type="character" w:customStyle="1" w:styleId="bcurrentcrumb">
    <w:name w:val="b_currentcrumb"/>
    <w:uiPriority w:val="99"/>
  </w:style>
  <w:style w:type="character" w:customStyle="1" w:styleId="SUBST">
    <w:name w:val="__SUBST"/>
    <w:uiPriority w:val="99"/>
    <w:rPr>
      <w:b/>
      <w:i/>
      <w:sz w:val="22"/>
    </w:rPr>
  </w:style>
  <w:style w:type="character" w:customStyle="1" w:styleId="highlighthighlightactive">
    <w:name w:val="highlight highlight_active"/>
    <w:uiPriority w:val="99"/>
  </w:style>
  <w:style w:type="character" w:customStyle="1" w:styleId="articleseparator">
    <w:name w:val="article_separator"/>
    <w:uiPriority w:val="99"/>
    <w:rPr>
      <w:vanish/>
    </w:rPr>
  </w:style>
  <w:style w:type="character" w:customStyle="1" w:styleId="412">
    <w:name w:val="Заголовок 4 Знак1"/>
    <w:uiPriority w:val="99"/>
    <w:rPr>
      <w:b/>
      <w:sz w:val="28"/>
      <w:lang w:val="ru-RU" w:eastAsia="ru-RU"/>
    </w:rPr>
  </w:style>
  <w:style w:type="character" w:customStyle="1" w:styleId="FontStyle19">
    <w:name w:val="Font Style19"/>
    <w:uiPriority w:val="99"/>
    <w:rPr>
      <w:rFonts w:ascii="Times New Roman" w:hAnsi="Times New Roman" w:cs="Times New Roman"/>
      <w:sz w:val="28"/>
    </w:rPr>
  </w:style>
  <w:style w:type="character" w:customStyle="1" w:styleId="fontregularwhite">
    <w:name w:val="font_regular_white"/>
    <w:uiPriority w:val="99"/>
    <w:rPr>
      <w:rFonts w:ascii="Times New Roman" w:hAnsi="Times New Roman" w:cs="Times New Roman"/>
    </w:rPr>
  </w:style>
  <w:style w:type="character" w:customStyle="1" w:styleId="Heading2Char43Char4">
    <w:name w:val="Heading 2 Char4;Знак3 Char4"/>
    <w:uiPriority w:val="99"/>
    <w:rPr>
      <w:rFonts w:ascii="Arial" w:hAnsi="Arial" w:cs="Arial"/>
      <w:b/>
      <w:i/>
      <w:sz w:val="28"/>
      <w:lang w:val="ru-RU" w:eastAsia="ru-RU"/>
    </w:rPr>
  </w:style>
  <w:style w:type="character" w:customStyle="1" w:styleId="PlainTextChar1">
    <w:name w:val="Plain Text Char1"/>
    <w:uiPriority w:val="99"/>
    <w:rPr>
      <w:rFonts w:ascii="Courier New" w:hAnsi="Courier New" w:cs="Courier New"/>
      <w:b/>
      <w:lang w:val="ru-RU" w:eastAsia="ru-RU"/>
    </w:rPr>
  </w:style>
  <w:style w:type="character" w:customStyle="1" w:styleId="TitleChar1">
    <w:name w:val="Title Char1"/>
    <w:uiPriority w:val="99"/>
    <w:rPr>
      <w:sz w:val="28"/>
      <w:lang w:val="ru-RU" w:eastAsia="ru-RU"/>
    </w:rPr>
  </w:style>
  <w:style w:type="character" w:customStyle="1" w:styleId="NormalWebCharWeb1CharWebChar211Char11CharCharWebChar4CharWeb11Char21Char3Char">
    <w:name w:val="Normal (Web) Char;Обычный (Web)1 Char;Обычный (Web) Char;Обычный (веб)211 Char;Обычный (веб)11 Char;Обычный (веб) Знак Char;Обычный (Web) Знак Char;Обычный (веб)4 Char;Обычный (Web)11 Char;Обычный (веб)21 Char;Обычный (веб)3 Char"/>
    <w:uiPriority w:val="99"/>
    <w:rPr>
      <w:sz w:val="24"/>
      <w:lang w:val="ru-RU" w:eastAsia="ru-RU"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TitleChar2">
    <w:name w:val="Title Char2"/>
    <w:uiPriority w:val="99"/>
    <w:rPr>
      <w:sz w:val="28"/>
      <w:lang w:val="ru-RU" w:eastAsia="ru-RU"/>
    </w:rPr>
  </w:style>
  <w:style w:type="character" w:customStyle="1" w:styleId="Bodytext3">
    <w:name w:val="Body text (3)"/>
    <w:uiPriority w:val="99"/>
    <w:rPr>
      <w:rFonts w:ascii="Times New Roman" w:hAnsi="Times New Roman" w:cs="Times New Roman"/>
      <w:i/>
      <w:color w:val="000000"/>
      <w:spacing w:val="0"/>
      <w:position w:val="0"/>
      <w:sz w:val="28"/>
      <w:u w:val="single"/>
      <w:lang w:val="ru-RU" w:eastAsia="ru-RU"/>
    </w:rPr>
  </w:style>
  <w:style w:type="character" w:customStyle="1" w:styleId="BodyText2Char1">
    <w:name w:val="Body Text 2 Char1"/>
    <w:uiPriority w:val="99"/>
    <w:rPr>
      <w:lang w:val="ru-RU" w:eastAsia="ru-RU"/>
    </w:rPr>
  </w:style>
  <w:style w:type="character" w:customStyle="1" w:styleId="Heading2Char23Char2">
    <w:name w:val="Heading 2 Char2;Знак3 Char2"/>
    <w:uiPriority w:val="99"/>
    <w:rPr>
      <w:rFonts w:ascii="Arial" w:hAnsi="Arial" w:cs="Arial"/>
      <w:b/>
      <w:i/>
      <w:sz w:val="28"/>
      <w:lang w:val="ru-RU" w:eastAsia="ru-RU"/>
    </w:rPr>
  </w:style>
  <w:style w:type="character" w:customStyle="1" w:styleId="Heading2Char33Char3">
    <w:name w:val="Heading 2 Char3;Знак3 Char3"/>
    <w:uiPriority w:val="99"/>
    <w:rPr>
      <w:rFonts w:ascii="Arial" w:hAnsi="Arial" w:cs="Arial"/>
      <w:b/>
      <w:i/>
      <w:sz w:val="28"/>
      <w:lang w:val="ru-RU" w:eastAsia="ru-RU"/>
    </w:rPr>
  </w:style>
  <w:style w:type="character" w:customStyle="1" w:styleId="FontStyle25">
    <w:name w:val="Font Style25"/>
    <w:uiPriority w:val="99"/>
    <w:rPr>
      <w:rFonts w:ascii="Calibri" w:hAnsi="Calibri"/>
      <w:spacing w:val="-10"/>
      <w:sz w:val="24"/>
    </w:rPr>
  </w:style>
  <w:style w:type="character" w:customStyle="1" w:styleId="1fb">
    <w:name w:val="Подзаголовок Знак1"/>
    <w:rPr>
      <w:rFonts w:ascii="Cambria" w:eastAsia="Times New Roman" w:hAnsi="Cambria" w:cs="Times New Roman"/>
      <w:sz w:val="24"/>
      <w:szCs w:val="24"/>
    </w:rPr>
  </w:style>
  <w:style w:type="character" w:customStyle="1" w:styleId="st">
    <w:name w:val="st"/>
    <w:basedOn w:val="a1"/>
  </w:style>
  <w:style w:type="character" w:customStyle="1" w:styleId="fontstyle01">
    <w:name w:val="fontstyle01"/>
    <w:rPr>
      <w:rFonts w:ascii="Calibri" w:hAnsi="Calibri"/>
      <w:color w:val="000000"/>
      <w:sz w:val="28"/>
      <w:szCs w:val="28"/>
    </w:rPr>
  </w:style>
  <w:style w:type="character" w:customStyle="1" w:styleId="FontStyle43">
    <w:name w:val="Font Style43"/>
    <w:uiPriority w:val="99"/>
    <w:rPr>
      <w:rFonts w:ascii="Times New Roman" w:hAnsi="Times New Roman" w:cs="Times New Roman"/>
      <w:sz w:val="24"/>
      <w:szCs w:val="24"/>
    </w:rPr>
  </w:style>
  <w:style w:type="character" w:customStyle="1" w:styleId="Bodytext211pt">
    <w:name w:val="Body text (2) + 11 pt"/>
    <w:rPr>
      <w:rFonts w:ascii="Times New Roman" w:eastAsia="Times New Roman" w:hAnsi="Times New Roman" w:cs="Times New Roman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FontStyle37">
    <w:name w:val="Font Style37"/>
    <w:uiPriority w:val="99"/>
    <w:rPr>
      <w:rFonts w:ascii="Calibri" w:hAnsi="Calibri" w:cs="Calibri"/>
      <w:sz w:val="26"/>
      <w:szCs w:val="26"/>
    </w:rPr>
  </w:style>
  <w:style w:type="character" w:customStyle="1" w:styleId="FontStyle36">
    <w:name w:val="Font Style36"/>
    <w:uiPriority w:val="99"/>
    <w:rPr>
      <w:rFonts w:ascii="Calibri" w:hAnsi="Calibri" w:cs="Calibri"/>
      <w:b/>
      <w:bCs/>
      <w:sz w:val="26"/>
      <w:szCs w:val="26"/>
    </w:rPr>
  </w:style>
  <w:style w:type="character" w:customStyle="1" w:styleId="FontStyle48">
    <w:name w:val="Font Style48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9">
    <w:name w:val="Font Style49"/>
    <w:uiPriority w:val="99"/>
    <w:rPr>
      <w:rFonts w:ascii="Times New Roman" w:hAnsi="Times New Roman" w:cs="Times New Roman"/>
      <w:sz w:val="26"/>
      <w:szCs w:val="26"/>
    </w:rPr>
  </w:style>
  <w:style w:type="character" w:customStyle="1" w:styleId="cardmaininfocontent">
    <w:name w:val="cardmaininfo__content"/>
    <w:basedOn w:val="a1"/>
  </w:style>
  <w:style w:type="character" w:customStyle="1" w:styleId="FontStyle30">
    <w:name w:val="Font Style30"/>
    <w:uiPriority w:val="99"/>
    <w:rPr>
      <w:rFonts w:ascii="Times New Roman" w:hAnsi="Times New Roman" w:cs="Times New Roman"/>
      <w:sz w:val="24"/>
      <w:szCs w:val="24"/>
    </w:rPr>
  </w:style>
  <w:style w:type="table" w:styleId="affff0">
    <w:name w:val="Table Elegant"/>
    <w:basedOn w:val="a2"/>
    <w:uiPriority w:val="99"/>
    <w:unhideWhenUsed/>
    <w:tblPr/>
  </w:style>
  <w:style w:type="table" w:customStyle="1" w:styleId="1fc">
    <w:name w:val="Изысканная таблица1"/>
    <w:uiPriority w:val="9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1">
    <w:name w:val="Изысканная таблица2"/>
    <w:uiPriority w:val="9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d">
    <w:name w:val="Сетка таблицы1"/>
    <w:uiPriority w:val="9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a">
    <w:name w:val="Изысканная таблица11"/>
    <w:uiPriority w:val="9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ffff1">
    <w:name w:val="Стиль маркированный"/>
  </w:style>
  <w:style w:type="paragraph" w:customStyle="1" w:styleId="Style17">
    <w:name w:val="Style17"/>
    <w:basedOn w:val="a0"/>
    <w:uiPriority w:val="99"/>
    <w:pPr>
      <w:widowControl w:val="0"/>
      <w:spacing w:line="413" w:lineRule="exact"/>
      <w:ind w:firstLine="154"/>
    </w:pPr>
    <w:rPr>
      <w:rFonts w:ascii="Arial" w:eastAsia="Times New Roman" w:hAnsi="Arial" w:cs="Arial"/>
    </w:rPr>
  </w:style>
  <w:style w:type="character" w:customStyle="1" w:styleId="FontStyle31">
    <w:name w:val="Font Style31"/>
    <w:uiPriority w:val="99"/>
    <w:rPr>
      <w:rFonts w:ascii="Arial" w:hAnsi="Arial" w:cs="Arial"/>
      <w:sz w:val="22"/>
      <w:szCs w:val="22"/>
    </w:rPr>
  </w:style>
  <w:style w:type="paragraph" w:customStyle="1" w:styleId="Style16">
    <w:name w:val="Style16"/>
    <w:basedOn w:val="a0"/>
    <w:uiPriority w:val="99"/>
    <w:pPr>
      <w:widowControl w:val="0"/>
      <w:spacing w:line="403" w:lineRule="exact"/>
      <w:ind w:firstLine="1392"/>
      <w:jc w:val="both"/>
    </w:pPr>
    <w:rPr>
      <w:rFonts w:ascii="Arial" w:eastAsia="Times New Roman" w:hAnsi="Arial" w:cs="Arial"/>
    </w:rPr>
  </w:style>
  <w:style w:type="character" w:customStyle="1" w:styleId="violet">
    <w:name w:val="violet"/>
    <w:basedOn w:val="a1"/>
  </w:style>
  <w:style w:type="character" w:customStyle="1" w:styleId="extendedtext-full">
    <w:name w:val="extendedtext-full"/>
    <w:basedOn w:val="a1"/>
  </w:style>
  <w:style w:type="paragraph" w:customStyle="1" w:styleId="Style19">
    <w:name w:val="Style19"/>
    <w:basedOn w:val="a0"/>
    <w:uiPriority w:val="99"/>
    <w:pPr>
      <w:widowControl w:val="0"/>
      <w:spacing w:line="346" w:lineRule="exact"/>
      <w:ind w:firstLine="552"/>
      <w:jc w:val="both"/>
    </w:pPr>
    <w:rPr>
      <w:rFonts w:ascii="Calibri" w:eastAsia="Times New Roman" w:hAnsi="Calibri"/>
    </w:rPr>
  </w:style>
  <w:style w:type="character" w:customStyle="1" w:styleId="hl">
    <w:name w:val="hl"/>
    <w:basedOn w:val="a1"/>
  </w:style>
  <w:style w:type="character" w:customStyle="1" w:styleId="pt-a0-000010">
    <w:name w:val="pt-a0-000010"/>
    <w:basedOn w:val="a1"/>
  </w:style>
  <w:style w:type="character" w:styleId="affff2">
    <w:name w:val="annotation reference"/>
    <w:rPr>
      <w:sz w:val="16"/>
      <w:szCs w:val="16"/>
    </w:rPr>
  </w:style>
  <w:style w:type="paragraph" w:styleId="affff3">
    <w:name w:val="annotation text"/>
    <w:basedOn w:val="a0"/>
    <w:link w:val="affff4"/>
  </w:style>
  <w:style w:type="character" w:customStyle="1" w:styleId="affff4">
    <w:name w:val="Текст примечания Знак"/>
    <w:basedOn w:val="a1"/>
    <w:link w:val="affff3"/>
  </w:style>
  <w:style w:type="paragraph" w:styleId="affff5">
    <w:name w:val="annotation subject"/>
    <w:basedOn w:val="affff3"/>
    <w:next w:val="affff3"/>
    <w:link w:val="affff6"/>
    <w:rPr>
      <w:rFonts w:eastAsia="Times New Roman"/>
      <w:b/>
      <w:bCs/>
      <w:sz w:val="20"/>
      <w:szCs w:val="20"/>
      <w:lang w:val="en-US" w:eastAsia="en-US"/>
    </w:rPr>
  </w:style>
  <w:style w:type="character" w:customStyle="1" w:styleId="affff6">
    <w:name w:val="Тема примечания Знак"/>
    <w:link w:val="affff5"/>
    <w:rPr>
      <w:b/>
      <w:bCs/>
    </w:rPr>
  </w:style>
  <w:style w:type="character" w:customStyle="1" w:styleId="FontStyle105">
    <w:name w:val="Font Style105"/>
    <w:uiPriority w:val="99"/>
    <w:rPr>
      <w:rFonts w:ascii="Times New Roman" w:hAnsi="Times New Roman" w:cs="Times New Roman"/>
      <w:sz w:val="26"/>
      <w:szCs w:val="26"/>
    </w:rPr>
  </w:style>
  <w:style w:type="character" w:customStyle="1" w:styleId="1fe">
    <w:name w:val="Гиперссылка1"/>
    <w:uiPriority w:val="99"/>
    <w:unhideWhenUsed/>
    <w:rPr>
      <w:rFonts w:ascii="Times New Roman" w:hAnsi="Times New Roman" w:cs="Times New Roman"/>
      <w:color w:val="0000FF"/>
      <w:u w:val="single"/>
    </w:rPr>
  </w:style>
  <w:style w:type="paragraph" w:customStyle="1" w:styleId="docdata">
    <w:name w:val="docdata"/>
    <w:basedOn w:val="a0"/>
    <w:pPr>
      <w:spacing w:before="100" w:beforeAutospacing="1" w:after="100" w:afterAutospacing="1"/>
    </w:pPr>
    <w:rPr>
      <w:rFonts w:eastAsiaTheme="minorHAnsi"/>
      <w:color w:val="auto"/>
    </w:rPr>
  </w:style>
  <w:style w:type="table" w:customStyle="1" w:styleId="2f2">
    <w:name w:val="Сетка таблицы2"/>
    <w:basedOn w:val="a2"/>
    <w:next w:val="ad"/>
    <w:uiPriority w:val="59"/>
    <w:rPr>
      <w:rFonts w:ascii="Calibri" w:eastAsia="Calibri" w:hAnsi="Calibri"/>
      <w:sz w:val="22"/>
      <w:szCs w:val="22"/>
      <w:lang w:eastAsia="en-US"/>
    </w:rPr>
    <w:tblPr/>
  </w:style>
  <w:style w:type="paragraph" w:styleId="affff7">
    <w:name w:val="Normal (Web)"/>
    <w:basedOn w:val="a0"/>
    <w:link w:val="affff8"/>
    <w:unhideWhenUsed/>
    <w:qFormat/>
    <w:pPr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affff8">
    <w:name w:val="Обычный (веб) Знак"/>
    <w:link w:val="affff7"/>
    <w:rPr>
      <w:sz w:val="24"/>
      <w:szCs w:val="24"/>
      <w:lang w:eastAsia="ru-RU"/>
    </w:rPr>
  </w:style>
  <w:style w:type="paragraph" w:customStyle="1" w:styleId="1ff">
    <w:name w:val="Основной текст с отступом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/>
      <w:ind w:left="283"/>
    </w:pPr>
    <w:rPr>
      <w:sz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image" Target="media/image140.png"/><Relationship Id="rId21" Type="http://schemas.openxmlformats.org/officeDocument/2006/relationships/image" Target="media/image50.png"/><Relationship Id="rId34" Type="http://schemas.openxmlformats.org/officeDocument/2006/relationships/image" Target="media/image1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90.png"/><Relationship Id="rId41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image" Target="media/image130.png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usprofile.ru/codes/259320/nizhegorodskaya-oblast" TargetMode="External"/><Relationship Id="rId23" Type="http://schemas.openxmlformats.org/officeDocument/2006/relationships/image" Target="media/image60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9" Type="http://schemas.openxmlformats.org/officeDocument/2006/relationships/image" Target="media/image40.png"/><Relationship Id="rId31" Type="http://schemas.openxmlformats.org/officeDocument/2006/relationships/image" Target="media/image10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0.png"/><Relationship Id="rId22" Type="http://schemas.openxmlformats.org/officeDocument/2006/relationships/image" Target="media/image6.png"/><Relationship Id="rId27" Type="http://schemas.openxmlformats.org/officeDocument/2006/relationships/image" Target="media/image80.png"/><Relationship Id="rId30" Type="http://schemas.openxmlformats.org/officeDocument/2006/relationships/image" Target="media/image10.png"/><Relationship Id="rId35" Type="http://schemas.openxmlformats.org/officeDocument/2006/relationships/image" Target="media/image120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16.png"/><Relationship Id="rId17" Type="http://schemas.openxmlformats.org/officeDocument/2006/relationships/image" Target="media/image30.png"/><Relationship Id="rId25" Type="http://schemas.openxmlformats.org/officeDocument/2006/relationships/image" Target="media/image70.png"/><Relationship Id="rId33" Type="http://schemas.openxmlformats.org/officeDocument/2006/relationships/image" Target="media/image110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98424-AC17-47E8-A8C8-01CB3143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21334</Words>
  <Characters>121606</Characters>
  <Application>Microsoft Office Word</Application>
  <DocSecurity>0</DocSecurity>
  <Lines>1013</Lines>
  <Paragraphs>285</Paragraphs>
  <ScaleCrop>false</ScaleCrop>
  <Company>Hewlett-Packard</Company>
  <LinksUpToDate>false</LinksUpToDate>
  <CharactersWithSpaces>142655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</dc:creator>
  <cp:lastModifiedBy>Моисеева Юлия Вячеславовна</cp:lastModifiedBy>
  <cp:revision>12</cp:revision>
  <dcterms:created xsi:type="dcterms:W3CDTF">2024-10-10T08:00:00Z</dcterms:created>
  <dcterms:modified xsi:type="dcterms:W3CDTF">2024-11-26T11:41:00Z</dcterms:modified>
  <cp:version>786432</cp:version>
</cp:coreProperties>
</file>